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6C04">
      <w:pPr>
        <w:pStyle w:val="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(MEET) О корпоративном действии "Годовое общее собрание акционеров" с ценными бумагами эмитента ПАО "</w:t>
      </w:r>
      <w:proofErr w:type="spellStart"/>
      <w:r>
        <w:rPr>
          <w:rFonts w:eastAsia="Times New Roman"/>
        </w:rPr>
        <w:t>Фортум</w:t>
      </w:r>
      <w:proofErr w:type="spellEnd"/>
      <w:r>
        <w:rPr>
          <w:rFonts w:eastAsia="Times New Roman"/>
        </w:rPr>
        <w:t>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742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810052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27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июня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D46C0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940"/>
        <w:gridCol w:w="2127"/>
        <w:gridCol w:w="1504"/>
        <w:gridCol w:w="1652"/>
        <w:gridCol w:w="1905"/>
        <w:gridCol w:w="1641"/>
        <w:gridCol w:w="2034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810052X6560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</w:t>
            </w:r>
            <w:proofErr w:type="spellStart"/>
            <w:r>
              <w:rPr>
                <w:rFonts w:eastAsia="Times New Roman"/>
              </w:rPr>
              <w:t>Фортум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1-01-55090-E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</w:tbl>
    <w:p w:rsidR="00000000" w:rsidRDefault="00D46C0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8"/>
        <w:gridCol w:w="546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2023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6C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Почтовый</w:t>
            </w:r>
            <w:r>
              <w:rPr>
                <w:rFonts w:eastAsia="Times New Roman"/>
              </w:rPr>
              <w:t xml:space="preserve">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г. Челябинск, ул. Худякова, 12а, 4-й этаж Челябинский филиал АО ВТБ Ре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гистратор</w:t>
            </w:r>
            <w:proofErr w:type="spellEnd"/>
            <w:r>
              <w:rPr>
                <w:rFonts w:eastAsia="Times New Roman"/>
              </w:rPr>
              <w:t>,, г. Москва, Пресненская набережная, 10, ПАО «</w:t>
            </w:r>
            <w:proofErr w:type="spellStart"/>
            <w:r>
              <w:rPr>
                <w:rFonts w:eastAsia="Times New Roman"/>
              </w:rPr>
              <w:t>Фортум</w:t>
            </w:r>
            <w:proofErr w:type="spellEnd"/>
            <w:r>
              <w:rPr>
                <w:rFonts w:eastAsia="Times New Roman"/>
              </w:rPr>
              <w:t>»;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</w:t>
            </w:r>
            <w:r>
              <w:rPr>
                <w:rFonts w:eastAsia="Times New Roman"/>
              </w:rPr>
              <w:t xml:space="preserve">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6C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www.vtbreg.ru</w:t>
            </w:r>
          </w:p>
        </w:tc>
      </w:tr>
    </w:tbl>
    <w:p w:rsidR="00000000" w:rsidRDefault="00D46C04">
      <w:pPr>
        <w:rPr>
          <w:rFonts w:eastAsia="Times New Roman"/>
        </w:rPr>
      </w:pPr>
    </w:p>
    <w:p w:rsidR="00000000" w:rsidRDefault="00D46C0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D46C04">
      <w:pPr>
        <w:rPr>
          <w:rFonts w:eastAsia="Times New Roman"/>
        </w:rPr>
      </w:pPr>
      <w:r>
        <w:rPr>
          <w:rFonts w:eastAsia="Times New Roman"/>
        </w:rPr>
        <w:t xml:space="preserve">1. Утверждение годового отчета Общества, годовой бухгалтерской (финансовой) отчетности за 2022 год. </w:t>
      </w:r>
      <w:r>
        <w:rPr>
          <w:rFonts w:eastAsia="Times New Roman"/>
        </w:rPr>
        <w:br/>
      </w:r>
      <w:r>
        <w:rPr>
          <w:rFonts w:eastAsia="Times New Roman"/>
        </w:rPr>
        <w:t xml:space="preserve">2. Распределение прибыли (в том числе выплата (объявление) дивидендов) и убытков Общества по результатам 2022 года. </w:t>
      </w:r>
      <w:r>
        <w:rPr>
          <w:rFonts w:eastAsia="Times New Roman"/>
        </w:rPr>
        <w:br/>
        <w:t xml:space="preserve">3. Избрание членов Совета директоров Общества. </w:t>
      </w:r>
      <w:r>
        <w:rPr>
          <w:rFonts w:eastAsia="Times New Roman"/>
        </w:rPr>
        <w:br/>
        <w:t xml:space="preserve">4. Назначение аудиторской организации Общества. </w:t>
      </w:r>
      <w:r>
        <w:rPr>
          <w:rFonts w:eastAsia="Times New Roman"/>
        </w:rPr>
        <w:br/>
        <w:t>5. Утверждение Устава ПАО «</w:t>
      </w:r>
      <w:proofErr w:type="spellStart"/>
      <w:r>
        <w:rPr>
          <w:rFonts w:eastAsia="Times New Roman"/>
        </w:rPr>
        <w:t>Фортум</w:t>
      </w:r>
      <w:proofErr w:type="spellEnd"/>
      <w:r>
        <w:rPr>
          <w:rFonts w:eastAsia="Times New Roman"/>
        </w:rPr>
        <w:t>» в новой</w:t>
      </w:r>
      <w:r>
        <w:rPr>
          <w:rFonts w:eastAsia="Times New Roman"/>
        </w:rPr>
        <w:t xml:space="preserve"> редакции. </w:t>
      </w:r>
      <w:r>
        <w:rPr>
          <w:rFonts w:eastAsia="Times New Roman"/>
        </w:rPr>
        <w:br/>
        <w:t>6. Утверждение Положения о Правлении ПАО «</w:t>
      </w:r>
      <w:proofErr w:type="spellStart"/>
      <w:r>
        <w:rPr>
          <w:rFonts w:eastAsia="Times New Roman"/>
        </w:rPr>
        <w:t>Фортум</w:t>
      </w:r>
      <w:proofErr w:type="spellEnd"/>
      <w:r>
        <w:rPr>
          <w:rFonts w:eastAsia="Times New Roman"/>
        </w:rPr>
        <w:t xml:space="preserve">». </w:t>
      </w:r>
      <w:r>
        <w:rPr>
          <w:rFonts w:eastAsia="Times New Roman"/>
        </w:rPr>
        <w:br/>
        <w:t>7. Утверждение Положения о Совете директоров ПАО «</w:t>
      </w:r>
      <w:proofErr w:type="spellStart"/>
      <w:r>
        <w:rPr>
          <w:rFonts w:eastAsia="Times New Roman"/>
        </w:rPr>
        <w:t>Фортум</w:t>
      </w:r>
      <w:proofErr w:type="spellEnd"/>
      <w:r>
        <w:rPr>
          <w:rFonts w:eastAsia="Times New Roman"/>
        </w:rPr>
        <w:t xml:space="preserve">» в новой редакции. </w:t>
      </w:r>
    </w:p>
    <w:p w:rsidR="00000000" w:rsidRDefault="00D46C04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</w:t>
      </w:r>
      <w:r>
        <w:t>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</w:t>
      </w:r>
      <w:r>
        <w:t>тральным депозитарием доступа к такой информации"</w:t>
      </w:r>
    </w:p>
    <w:p w:rsidR="00000000" w:rsidRDefault="00D46C04">
      <w:pPr>
        <w:pStyle w:val="a3"/>
      </w:pPr>
      <w:r>
        <w:t>4.2 Информация о созыве общего собрания акционеров эмитента</w:t>
      </w:r>
    </w:p>
    <w:p w:rsidR="00000000" w:rsidRDefault="00D46C04">
      <w:pPr>
        <w:pStyle w:val="a3"/>
      </w:pPr>
      <w:r>
        <w:t>Электронная форма бюллетеней для голосования может быть заполнена акционерами в «Личном кабинете акционера» на сайте регистратора www.vtbreg.ru ил</w:t>
      </w:r>
      <w:r>
        <w:t>и в мобильном приложении ЦУП «Кворум»</w:t>
      </w:r>
    </w:p>
    <w:p w:rsidR="00000000" w:rsidRDefault="00D46C04">
      <w:pPr>
        <w:pStyle w:val="HTML"/>
      </w:pPr>
      <w:r>
        <w:t>По всем вопросам, связанным с настоящим сообщением, Вы можете обращаться к</w:t>
      </w:r>
      <w:r w:rsidRPr="00D46C04">
        <w:t xml:space="preserve"> </w:t>
      </w:r>
      <w:r>
        <w:t>АО «БАНК ОРЕНБУРГ» по телефону (3532)343-060</w:t>
      </w:r>
      <w:bookmarkStart w:id="0" w:name="_GoBack"/>
      <w:bookmarkEnd w:id="0"/>
      <w:r>
        <w:t>.</w:t>
      </w:r>
    </w:p>
    <w:sectPr w:rsidR="00000000" w:rsidSect="00D46C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6C04"/>
    <w:rsid w:val="00D4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96B08"/>
  <w15:chartTrackingRefBased/>
  <w15:docId w15:val="{062DB873-21F0-415C-8DF3-52449428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2023-05-25T03:58:00Z</dcterms:created>
  <dcterms:modified xsi:type="dcterms:W3CDTF">2023-05-25T03:58:00Z</dcterms:modified>
</cp:coreProperties>
</file>