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6CC" w:rsidRPr="007A1A69" w:rsidRDefault="006466CC" w:rsidP="006466CC">
      <w:pPr>
        <w:rPr>
          <w:rFonts w:ascii="Tahoma" w:hAnsi="Tahoma" w:cs="Tahoma"/>
          <w:b/>
          <w:iCs/>
          <w:sz w:val="28"/>
          <w:szCs w:val="28"/>
        </w:rPr>
      </w:pPr>
      <w:bookmarkStart w:id="0" w:name="_GoBack"/>
      <w:bookmarkEnd w:id="0"/>
      <w:r w:rsidRPr="007A1A69">
        <w:rPr>
          <w:rFonts w:ascii="Tahoma" w:hAnsi="Tahoma" w:cs="Tahoma"/>
          <w:b/>
          <w:iCs/>
          <w:sz w:val="28"/>
          <w:szCs w:val="28"/>
        </w:rPr>
        <w:t>Форма 4</w:t>
      </w:r>
    </w:p>
    <w:tbl>
      <w:tblPr>
        <w:tblW w:w="15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1232"/>
      </w:tblGrid>
      <w:tr w:rsidR="006466CC" w:rsidRPr="007A1A69" w:rsidTr="00FF0EEE">
        <w:trPr>
          <w:trHeight w:val="213"/>
        </w:trPr>
        <w:tc>
          <w:tcPr>
            <w:tcW w:w="3568" w:type="dxa"/>
            <w:shd w:val="clear" w:color="auto" w:fill="auto"/>
          </w:tcPr>
          <w:p w:rsidR="006466CC" w:rsidRPr="007A1A69" w:rsidRDefault="006466CC" w:rsidP="00FF0E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A1A69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6466CC" w:rsidRPr="007A1A69" w:rsidRDefault="006466CC" w:rsidP="00FF0E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:rsidR="006466CC" w:rsidRPr="007A1A69" w:rsidRDefault="006466CC" w:rsidP="00FF0E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A1A69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5256" w:type="dxa"/>
            <w:gridSpan w:val="5"/>
            <w:shd w:val="clear" w:color="auto" w:fill="auto"/>
          </w:tcPr>
          <w:p w:rsidR="006466CC" w:rsidRPr="007A1A69" w:rsidRDefault="00E03D00" w:rsidP="00E03D0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A1A69">
              <w:rPr>
                <w:rFonts w:ascii="Tahoma" w:hAnsi="Tahoma" w:cs="Tahoma"/>
                <w:sz w:val="16"/>
                <w:szCs w:val="16"/>
              </w:rPr>
              <w:t>20.12.2024</w:t>
            </w:r>
          </w:p>
        </w:tc>
      </w:tr>
      <w:tr w:rsidR="00E03D00" w:rsidRPr="007A1A69" w:rsidTr="00FF0EEE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E03D00" w:rsidRPr="007A1A69" w:rsidRDefault="00E03D00" w:rsidP="00E03D0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A1A69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E03D00" w:rsidRPr="007A1A69" w:rsidRDefault="00E03D00" w:rsidP="00E03D00">
            <w:pPr>
              <w:widowControl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A1A69">
              <w:rPr>
                <w:rFonts w:ascii="Tahoma" w:hAnsi="Tahoma" w:cs="Tahoma"/>
                <w:sz w:val="16"/>
                <w:szCs w:val="16"/>
              </w:rPr>
              <w:t xml:space="preserve">Публичное акционерное общество «Федеральная гидрогенерирующая компания - </w:t>
            </w:r>
            <w:proofErr w:type="spellStart"/>
            <w:r w:rsidRPr="007A1A69">
              <w:rPr>
                <w:rFonts w:ascii="Tahoma" w:hAnsi="Tahoma" w:cs="Tahoma"/>
                <w:sz w:val="16"/>
                <w:szCs w:val="16"/>
              </w:rPr>
              <w:t>РусГидро</w:t>
            </w:r>
            <w:proofErr w:type="spellEnd"/>
            <w:r w:rsidRPr="007A1A69">
              <w:rPr>
                <w:rFonts w:ascii="Tahoma" w:hAnsi="Tahoma" w:cs="Tahoma"/>
                <w:sz w:val="16"/>
                <w:szCs w:val="16"/>
              </w:rPr>
              <w:t>», ИНН 2460066195</w:t>
            </w:r>
          </w:p>
        </w:tc>
      </w:tr>
      <w:tr w:rsidR="00E03D00" w:rsidRPr="007A1A69" w:rsidTr="00FF0EEE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E03D00" w:rsidRPr="007A1A69" w:rsidRDefault="00E03D00" w:rsidP="00E03D0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A1A69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E03D00" w:rsidRPr="007A1A69" w:rsidRDefault="00E03D00" w:rsidP="00E03D00">
            <w:pPr>
              <w:widowControl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A1A69">
              <w:rPr>
                <w:rFonts w:ascii="Tahoma" w:hAnsi="Tahoma" w:cs="Tahoma"/>
                <w:sz w:val="16"/>
                <w:szCs w:val="16"/>
              </w:rPr>
              <w:t>KhutornayaEA@rushydro.ru, тел. 8 800 333 8000, доб.1150</w:t>
            </w:r>
          </w:p>
        </w:tc>
      </w:tr>
      <w:tr w:rsidR="00E03D00" w:rsidRPr="007A1A69" w:rsidTr="00FF0EEE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E03D00" w:rsidRPr="007A1A69" w:rsidRDefault="00E03D00" w:rsidP="00E03D0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A1A69">
              <w:rPr>
                <w:rFonts w:ascii="Tahoma" w:hAnsi="Tahoma" w:cs="Tahoma"/>
                <w:sz w:val="16"/>
                <w:szCs w:val="16"/>
              </w:rPr>
              <w:t>Пункт Положения № 751-П, на основании которого направляется информация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E03D00" w:rsidRPr="007A1A69" w:rsidRDefault="00E03D00" w:rsidP="00E03D0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A1A69">
              <w:rPr>
                <w:rFonts w:ascii="Tahoma" w:hAnsi="Tahoma" w:cs="Tahoma"/>
                <w:sz w:val="16"/>
                <w:szCs w:val="16"/>
              </w:rPr>
              <w:t>4.4</w:t>
            </w:r>
          </w:p>
        </w:tc>
      </w:tr>
      <w:tr w:rsidR="00E03D00" w:rsidRPr="007A1A69" w:rsidTr="00FF0EEE">
        <w:trPr>
          <w:trHeight w:val="192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00" w:rsidRPr="007A1A69" w:rsidRDefault="00E03D00" w:rsidP="00E03D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A1A69">
              <w:rPr>
                <w:rFonts w:ascii="Tahoma" w:hAnsi="Tahoma" w:cs="Tahoma"/>
                <w:b/>
                <w:sz w:val="16"/>
                <w:szCs w:val="16"/>
              </w:rPr>
              <w:t xml:space="preserve">Информация предоставляется в связи с обнаружением (выявлением) недостоверной, неточной, неполной и (или) вводящей в заблуждение информации, ранее предоставленной центральному депозитарию (п. 2.3 Положения № 751-П) </w:t>
            </w:r>
          </w:p>
        </w:tc>
      </w:tr>
      <w:tr w:rsidR="00E03D00" w:rsidRPr="007A1A69" w:rsidTr="00FF0EEE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3D00" w:rsidRPr="007A1A69" w:rsidRDefault="00E03D00" w:rsidP="00E03D0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A1A69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 (корректируется):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E03D00" w:rsidRPr="007A1A69" w:rsidRDefault="00E03D00" w:rsidP="00E03D00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7A1A69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E03D00" w:rsidRPr="007A1A69" w:rsidRDefault="00E03D00" w:rsidP="00E03D00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3D00" w:rsidRPr="007A1A69" w:rsidRDefault="00E03D00" w:rsidP="00E03D00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7A1A69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E03D00" w:rsidRPr="007A1A69" w:rsidRDefault="00E03D00" w:rsidP="00E03D00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7A1A69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E03D00" w:rsidRPr="007A1A69" w:rsidRDefault="00E03D00" w:rsidP="00E03D00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7A1A69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3D00" w:rsidRPr="007A1A69" w:rsidRDefault="00E03D00" w:rsidP="00E03D00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7A1A69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E03D00" w:rsidRPr="007A1A69" w:rsidTr="00FF0EEE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E03D00" w:rsidRPr="007A1A69" w:rsidRDefault="00E03D00" w:rsidP="00E03D0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A1A69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 и причины (обстоятельства), послужившие основанием для их внесения: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E03D00" w:rsidRPr="007A1A69" w:rsidRDefault="00E03D00" w:rsidP="00E03D00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3D00" w:rsidRPr="007A1A69" w:rsidTr="00FF0EEE">
        <w:trPr>
          <w:trHeight w:val="174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00" w:rsidRPr="007A1A69" w:rsidRDefault="00E03D00" w:rsidP="00E03D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7A1A69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решение, информация о котором предоставлялась центральному депозитарию (п. 2.4 Положения № 751-П)</w:t>
            </w:r>
          </w:p>
        </w:tc>
      </w:tr>
      <w:tr w:rsidR="00E03D00" w:rsidRPr="007A1A69" w:rsidTr="00FF0EEE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3D00" w:rsidRPr="007A1A69" w:rsidRDefault="00E03D00" w:rsidP="00E03D0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A1A69">
              <w:rPr>
                <w:rFonts w:ascii="Tahoma" w:hAnsi="Tahoma" w:cs="Tahoma"/>
                <w:sz w:val="16"/>
                <w:szCs w:val="16"/>
              </w:rPr>
              <w:t>Дата принятия решения; орган управления (уполномоченное лицо) Эмитента, принявший решение; дата составления и номер протокола заседания (собрания) органа управления Эмитента (если  решение принято коллегиальным органом управления Эмитента):</w:t>
            </w:r>
          </w:p>
        </w:tc>
        <w:tc>
          <w:tcPr>
            <w:tcW w:w="770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E03D00" w:rsidRPr="007A1A69" w:rsidRDefault="00E03D00" w:rsidP="00E03D00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3D00" w:rsidRPr="007A1A69" w:rsidTr="00FF0EEE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E03D00" w:rsidRPr="007A1A69" w:rsidRDefault="00E03D00" w:rsidP="00E03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A1A69">
              <w:rPr>
                <w:rFonts w:ascii="Tahoma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E03D00" w:rsidRPr="007A1A69" w:rsidRDefault="00E03D00" w:rsidP="00E03D00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3D00" w:rsidRPr="007A1A69" w:rsidTr="00FF0EEE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E03D00" w:rsidRPr="007A1A69" w:rsidRDefault="00E03D00" w:rsidP="00E03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A1A69">
              <w:rPr>
                <w:rFonts w:ascii="Tahoma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E03D00" w:rsidRPr="007A1A69" w:rsidRDefault="00E03D00" w:rsidP="00E03D0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A1A69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E03D00" w:rsidRPr="007A1A69" w:rsidRDefault="00E03D00" w:rsidP="00E03D00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E03D00" w:rsidRPr="007A1A69" w:rsidRDefault="00E03D00" w:rsidP="00E03D0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A1A69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E03D00" w:rsidRPr="007A1A69" w:rsidRDefault="00E03D00" w:rsidP="00E03D00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7A1A69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E03D00" w:rsidRPr="007A1A69" w:rsidRDefault="00E03D00" w:rsidP="00E03D00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7A1A69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32" w:type="dxa"/>
            <w:shd w:val="clear" w:color="auto" w:fill="auto"/>
          </w:tcPr>
          <w:p w:rsidR="00E03D00" w:rsidRPr="007A1A69" w:rsidRDefault="00E03D00" w:rsidP="00E03D00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7A1A69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6466CC" w:rsidRPr="007A1A69" w:rsidRDefault="006466CC" w:rsidP="006466CC">
      <w:pPr>
        <w:spacing w:before="240"/>
        <w:jc w:val="center"/>
        <w:rPr>
          <w:rFonts w:ascii="Tahoma" w:hAnsi="Tahoma" w:cs="Tahoma"/>
          <w:b/>
          <w:sz w:val="32"/>
          <w:szCs w:val="32"/>
        </w:rPr>
      </w:pPr>
      <w:r w:rsidRPr="007A1A69">
        <w:rPr>
          <w:rFonts w:ascii="Tahoma" w:hAnsi="Tahoma" w:cs="Tahoma"/>
          <w:b/>
          <w:sz w:val="32"/>
          <w:szCs w:val="32"/>
        </w:rPr>
        <w:t xml:space="preserve">Информация, связанная с осуществлением права  на участие в общем собрании акционеров эмитента </w:t>
      </w:r>
    </w:p>
    <w:tbl>
      <w:tblPr>
        <w:tblStyle w:val="a7"/>
        <w:tblW w:w="15196" w:type="dxa"/>
        <w:tblInd w:w="108" w:type="dxa"/>
        <w:tblLook w:val="04A0" w:firstRow="1" w:lastRow="0" w:firstColumn="1" w:lastColumn="0" w:noHBand="0" w:noVBand="1"/>
      </w:tblPr>
      <w:tblGrid>
        <w:gridCol w:w="7542"/>
        <w:gridCol w:w="7654"/>
      </w:tblGrid>
      <w:tr w:rsidR="006466CC" w:rsidRPr="007A1A69" w:rsidTr="00FF0EEE">
        <w:tc>
          <w:tcPr>
            <w:tcW w:w="7542" w:type="dxa"/>
          </w:tcPr>
          <w:p w:rsidR="006466CC" w:rsidRPr="007A1A69" w:rsidRDefault="006466CC" w:rsidP="00FF0EEE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7654" w:type="dxa"/>
          </w:tcPr>
          <w:p w:rsidR="006466CC" w:rsidRPr="007A1A69" w:rsidRDefault="00E03D00" w:rsidP="00FF0EEE">
            <w:pPr>
              <w:rPr>
                <w:rFonts w:ascii="Tahoma" w:hAnsi="Tahoma" w:cs="Tahoma"/>
                <w:b/>
                <w:sz w:val="32"/>
                <w:szCs w:val="32"/>
              </w:rPr>
            </w:pPr>
            <w:r w:rsidRPr="007A1A69">
              <w:rPr>
                <w:rFonts w:ascii="Tahoma" w:hAnsi="Tahoma" w:cs="Tahoma"/>
                <w:b/>
                <w:sz w:val="32"/>
                <w:szCs w:val="32"/>
              </w:rPr>
              <w:t>20.12.2024</w:t>
            </w:r>
          </w:p>
        </w:tc>
      </w:tr>
    </w:tbl>
    <w:p w:rsidR="006466CC" w:rsidRPr="007A1A69" w:rsidRDefault="006466CC" w:rsidP="006466CC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7A1A69">
        <w:rPr>
          <w:rFonts w:ascii="Tahoma" w:hAnsi="Tahoma" w:cs="Tahoma"/>
          <w:b/>
          <w:sz w:val="28"/>
          <w:szCs w:val="28"/>
        </w:rPr>
        <w:t>4.4. Информация о решениях, принятых общим собранием акционеров эмитента, а также об итогах голосования на общем собрании акционеров эмитента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2"/>
        <w:gridCol w:w="7767"/>
      </w:tblGrid>
      <w:tr w:rsidR="006466CC" w:rsidRPr="007A1A69" w:rsidTr="00FF0EEE">
        <w:tc>
          <w:tcPr>
            <w:tcW w:w="7542" w:type="dxa"/>
            <w:shd w:val="clear" w:color="auto" w:fill="auto"/>
            <w:vAlign w:val="center"/>
          </w:tcPr>
          <w:p w:rsidR="006466CC" w:rsidRPr="007A1A69" w:rsidRDefault="006466CC" w:rsidP="00FF0EE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1" w:name="_Toc462933641"/>
            <w:r w:rsidRPr="007A1A69">
              <w:rPr>
                <w:rFonts w:ascii="Tahoma" w:eastAsia="Times New Roman" w:hAnsi="Tahoma" w:cs="Tahoma"/>
                <w:sz w:val="24"/>
                <w:lang w:eastAsia="ru-RU"/>
              </w:rPr>
              <w:t>Вид общего собрания акционеров эмитента (годовое (очередное), внеочередное):</w:t>
            </w:r>
            <w:bookmarkEnd w:id="1"/>
          </w:p>
        </w:tc>
        <w:tc>
          <w:tcPr>
            <w:tcW w:w="7767" w:type="dxa"/>
            <w:shd w:val="clear" w:color="auto" w:fill="auto"/>
            <w:vAlign w:val="center"/>
          </w:tcPr>
          <w:p w:rsidR="006466CC" w:rsidRPr="007A1A69" w:rsidRDefault="00FB1AA6" w:rsidP="00FF0EEE">
            <w:pPr>
              <w:rPr>
                <w:rFonts w:ascii="Tahoma" w:hAnsi="Tahoma" w:cs="Tahoma"/>
                <w:bCs/>
                <w:sz w:val="24"/>
                <w:szCs w:val="24"/>
                <w:lang w:eastAsia="ru-RU"/>
              </w:rPr>
            </w:pPr>
            <w:r w:rsidRPr="007A1A69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Внеочередное</w:t>
            </w:r>
          </w:p>
        </w:tc>
      </w:tr>
      <w:tr w:rsidR="006466CC" w:rsidRPr="007A1A69" w:rsidTr="00FF0EEE">
        <w:tc>
          <w:tcPr>
            <w:tcW w:w="7542" w:type="dxa"/>
            <w:shd w:val="clear" w:color="auto" w:fill="auto"/>
            <w:vAlign w:val="center"/>
          </w:tcPr>
          <w:p w:rsidR="006466CC" w:rsidRPr="007A1A69" w:rsidRDefault="006466CC" w:rsidP="00FF0EE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2" w:name="_Toc462933642"/>
            <w:r w:rsidRPr="007A1A69">
              <w:rPr>
                <w:rFonts w:ascii="Tahoma" w:eastAsia="Times New Roman" w:hAnsi="Tahoma" w:cs="Tahoma"/>
                <w:sz w:val="24"/>
                <w:lang w:eastAsia="ru-RU"/>
              </w:rPr>
              <w:t>Форма проведения общего собрания акционеров эмитента (собрание (совместное присутствие) или заочное голосование):</w:t>
            </w:r>
            <w:bookmarkEnd w:id="2"/>
          </w:p>
        </w:tc>
        <w:tc>
          <w:tcPr>
            <w:tcW w:w="7767" w:type="dxa"/>
            <w:shd w:val="clear" w:color="auto" w:fill="auto"/>
            <w:vAlign w:val="center"/>
          </w:tcPr>
          <w:p w:rsidR="006466CC" w:rsidRPr="007A1A69" w:rsidRDefault="00FB1AA6" w:rsidP="00FF0EEE">
            <w:pPr>
              <w:rPr>
                <w:rFonts w:ascii="Tahoma" w:hAnsi="Tahoma" w:cs="Tahoma"/>
              </w:rPr>
            </w:pPr>
            <w:r w:rsidRPr="007A1A69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6466CC" w:rsidRPr="007A1A69" w:rsidTr="00FF0EEE">
        <w:tc>
          <w:tcPr>
            <w:tcW w:w="7542" w:type="dxa"/>
            <w:shd w:val="clear" w:color="auto" w:fill="auto"/>
            <w:vAlign w:val="center"/>
          </w:tcPr>
          <w:p w:rsidR="006466CC" w:rsidRPr="007A1A69" w:rsidRDefault="006466CC" w:rsidP="00FF0EE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3" w:name="_Toc462933643"/>
            <w:r w:rsidRPr="007A1A69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Дата, место, время проведения общего собрания акционеров эмитента:</w:t>
            </w:r>
            <w:bookmarkEnd w:id="3"/>
          </w:p>
        </w:tc>
        <w:tc>
          <w:tcPr>
            <w:tcW w:w="7767" w:type="dxa"/>
            <w:shd w:val="clear" w:color="auto" w:fill="auto"/>
            <w:vAlign w:val="center"/>
          </w:tcPr>
          <w:p w:rsidR="007A1A69" w:rsidRPr="007A1A69" w:rsidRDefault="007A1A69" w:rsidP="007A1A69">
            <w:pPr>
              <w:widowControl w:val="0"/>
              <w:jc w:val="both"/>
              <w:rPr>
                <w:rFonts w:ascii="Tahoma" w:hAnsi="Tahoma" w:cs="Tahoma"/>
                <w:bCs/>
                <w:sz w:val="24"/>
                <w:szCs w:val="24"/>
                <w:lang w:eastAsia="ru-RU"/>
              </w:rPr>
            </w:pPr>
            <w:r w:rsidRPr="007A1A69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 xml:space="preserve">Дата проведения общего собрания акционеров эмитента (Дата окончания приема бюллетеней для голосования) - 20 декабря 2024 года; </w:t>
            </w:r>
          </w:p>
          <w:p w:rsidR="006466CC" w:rsidRPr="007A1A69" w:rsidRDefault="007A1A69" w:rsidP="007A1A69">
            <w:pPr>
              <w:widowControl w:val="0"/>
              <w:jc w:val="both"/>
              <w:rPr>
                <w:rFonts w:ascii="Tahoma" w:hAnsi="Tahoma" w:cs="Tahoma"/>
                <w:bCs/>
                <w:sz w:val="24"/>
                <w:szCs w:val="24"/>
                <w:lang w:eastAsia="ru-RU"/>
              </w:rPr>
            </w:pPr>
            <w:r w:rsidRPr="007A1A69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и время проведения общего собрания акционеров эмитента – не применимо;</w:t>
            </w:r>
          </w:p>
        </w:tc>
      </w:tr>
      <w:tr w:rsidR="006466CC" w:rsidRPr="007A1A69" w:rsidTr="00FF0EEE">
        <w:tc>
          <w:tcPr>
            <w:tcW w:w="7542" w:type="dxa"/>
            <w:shd w:val="clear" w:color="auto" w:fill="auto"/>
            <w:vAlign w:val="center"/>
          </w:tcPr>
          <w:p w:rsidR="006466CC" w:rsidRPr="007A1A69" w:rsidRDefault="006466CC" w:rsidP="00FF0EE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4" w:name="_Toc462933644"/>
            <w:r w:rsidRPr="007A1A69">
              <w:rPr>
                <w:rFonts w:ascii="Tahoma" w:eastAsia="Times New Roman" w:hAnsi="Tahoma" w:cs="Tahoma"/>
                <w:sz w:val="24"/>
                <w:lang w:eastAsia="ru-RU"/>
              </w:rPr>
              <w:t>Сведения о кворуме общего собрания акционеров эмитента:</w:t>
            </w:r>
            <w:bookmarkEnd w:id="4"/>
          </w:p>
        </w:tc>
        <w:tc>
          <w:tcPr>
            <w:tcW w:w="7767" w:type="dxa"/>
            <w:shd w:val="clear" w:color="auto" w:fill="auto"/>
            <w:vAlign w:val="center"/>
          </w:tcPr>
          <w:p w:rsidR="00FB1AA6" w:rsidRPr="007A1A69" w:rsidRDefault="00FB1AA6" w:rsidP="007A1A69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7A1A69">
              <w:rPr>
                <w:rFonts w:ascii="Tahoma" w:eastAsia="Times New Roman" w:hAnsi="Tahoma" w:cs="Tahoma"/>
                <w:sz w:val="24"/>
                <w:lang w:eastAsia="ru-RU"/>
              </w:rPr>
              <w:t>Кворум по вопросу № 1</w:t>
            </w:r>
          </w:p>
          <w:p w:rsidR="007A1A69" w:rsidRPr="007A1A69" w:rsidRDefault="007A1A69" w:rsidP="007A1A69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7A1A69">
              <w:rPr>
                <w:rFonts w:ascii="Tahoma" w:eastAsia="Times New Roman" w:hAnsi="Tahoma" w:cs="Tahoma"/>
                <w:sz w:val="24"/>
                <w:lang w:eastAsia="ru-RU"/>
              </w:rPr>
              <w:t>Число голосов, которыми по данному вопросу обладали лица, включенные в список лиц, имеющих право на участие в общем Собрании, не заинтересованные в совершении Обществом сделки - 444 784 377 038;</w:t>
            </w:r>
          </w:p>
          <w:p w:rsidR="007A1A69" w:rsidRPr="007A1A69" w:rsidRDefault="007A1A69" w:rsidP="007A1A69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7A1A69">
              <w:rPr>
                <w:rFonts w:ascii="Tahoma" w:eastAsia="Times New Roman" w:hAnsi="Tahoma" w:cs="Tahoma"/>
                <w:sz w:val="24"/>
                <w:lang w:eastAsia="ru-RU"/>
              </w:rPr>
              <w:t>Число голосов, приходившихся на голосующие акции Общества, владельцами которых являлись лица, не заинтересованные в совершении Обществом сделки, определенное с учетом положений пункта 4.24 Положения Банка России от 16.11.2018 N 660-П «Об общих собраниях акционеров» - 444 784 377 038;</w:t>
            </w:r>
          </w:p>
          <w:p w:rsidR="007A1A69" w:rsidRPr="007A1A69" w:rsidRDefault="007A1A69" w:rsidP="007A1A69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7A1A69">
              <w:rPr>
                <w:rFonts w:ascii="Tahoma" w:eastAsia="Times New Roman" w:hAnsi="Tahoma" w:cs="Tahoma"/>
                <w:sz w:val="24"/>
                <w:lang w:eastAsia="ru-RU"/>
              </w:rPr>
              <w:t>Число голосов, которыми по данному вопросу обладали лица, не заинтересованные в совершении Обществом сделки, принявшие участие в общем Собрании -374 966 993 113 5/10;</w:t>
            </w:r>
          </w:p>
          <w:p w:rsidR="006466CC" w:rsidRPr="007A1A69" w:rsidRDefault="007A1A69" w:rsidP="007A1A69">
            <w:pPr>
              <w:jc w:val="both"/>
              <w:rPr>
                <w:rFonts w:ascii="Tahoma" w:hAnsi="Tahoma" w:cs="Tahoma"/>
                <w:bCs/>
                <w:sz w:val="24"/>
                <w:szCs w:val="24"/>
                <w:lang w:eastAsia="ru-RU"/>
              </w:rPr>
            </w:pPr>
            <w:r w:rsidRPr="007A1A69">
              <w:rPr>
                <w:rFonts w:ascii="Tahoma" w:eastAsia="Times New Roman" w:hAnsi="Tahoma" w:cs="Tahoma"/>
                <w:sz w:val="24"/>
                <w:lang w:eastAsia="ru-RU"/>
              </w:rPr>
              <w:t>Кворум по данному вопросу имеется.</w:t>
            </w:r>
          </w:p>
        </w:tc>
      </w:tr>
      <w:tr w:rsidR="006466CC" w:rsidRPr="007A1A69" w:rsidTr="00FF0EEE">
        <w:tc>
          <w:tcPr>
            <w:tcW w:w="7542" w:type="dxa"/>
            <w:shd w:val="clear" w:color="auto" w:fill="auto"/>
            <w:vAlign w:val="center"/>
          </w:tcPr>
          <w:p w:rsidR="006466CC" w:rsidRPr="007A1A69" w:rsidRDefault="006466CC" w:rsidP="00FF0EE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5" w:name="_Toc462933645"/>
            <w:r w:rsidRPr="007A1A69">
              <w:rPr>
                <w:rFonts w:ascii="Tahoma" w:eastAsia="Times New Roman" w:hAnsi="Tahoma" w:cs="Tahoma"/>
                <w:sz w:val="24"/>
                <w:lang w:eastAsia="ru-RU"/>
              </w:rPr>
              <w:t>Повестка дня общего собрания акционеров эмитента:</w:t>
            </w:r>
            <w:bookmarkEnd w:id="5"/>
          </w:p>
        </w:tc>
        <w:tc>
          <w:tcPr>
            <w:tcW w:w="7767" w:type="dxa"/>
            <w:shd w:val="clear" w:color="auto" w:fill="auto"/>
            <w:vAlign w:val="center"/>
          </w:tcPr>
          <w:p w:rsidR="006466CC" w:rsidRPr="007A1A69" w:rsidRDefault="007A1A69" w:rsidP="007A1A69">
            <w:pPr>
              <w:rPr>
                <w:bCs/>
                <w:sz w:val="24"/>
                <w:szCs w:val="24"/>
                <w:lang w:eastAsia="ru-RU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1. О предоставлении согласия на заключение Обществом совокупности взаимосвязанных сделок, в совершении которых имеется заинтересованность.</w:t>
            </w:r>
          </w:p>
        </w:tc>
      </w:tr>
      <w:tr w:rsidR="006466CC" w:rsidRPr="007A1A69" w:rsidTr="00FF0EEE">
        <w:trPr>
          <w:trHeight w:val="1303"/>
        </w:trPr>
        <w:tc>
          <w:tcPr>
            <w:tcW w:w="7542" w:type="dxa"/>
            <w:shd w:val="clear" w:color="auto" w:fill="auto"/>
            <w:vAlign w:val="center"/>
          </w:tcPr>
          <w:p w:rsidR="006466CC" w:rsidRPr="007A1A69" w:rsidRDefault="006466CC" w:rsidP="00FF0EE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6" w:name="_Toc462933646"/>
            <w:r w:rsidRPr="007A1A69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Результаты голосования по вопросам повестки дня общего собрания акционеров эмитента, по которым имелся кворум, и формулировки решений, принятых общим собранием акционеров эмитента по указанным вопросам:</w:t>
            </w:r>
            <w:bookmarkEnd w:id="6"/>
          </w:p>
        </w:tc>
        <w:tc>
          <w:tcPr>
            <w:tcW w:w="7767" w:type="dxa"/>
            <w:shd w:val="clear" w:color="auto" w:fill="auto"/>
            <w:vAlign w:val="center"/>
          </w:tcPr>
          <w:p w:rsidR="007A1A69" w:rsidRPr="007A1A69" w:rsidRDefault="007A1A69" w:rsidP="007A1A69">
            <w:pPr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Вопрос 1: О предоставлении согласия на заключение Обществом совокупности взаимосвязанных сделок, в совершении которых имеется заинтересованность.</w:t>
            </w:r>
          </w:p>
          <w:p w:rsidR="007A1A69" w:rsidRPr="007A1A69" w:rsidRDefault="007A1A69" w:rsidP="007A1A69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7A1A69" w:rsidRPr="007A1A69" w:rsidRDefault="007A1A69" w:rsidP="007A1A69">
            <w:pPr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Число голосов, отданных за каждый из вариантов голосования:</w:t>
            </w:r>
          </w:p>
          <w:p w:rsidR="007A1A69" w:rsidRPr="007A1A69" w:rsidRDefault="007A1A69" w:rsidP="007A1A69">
            <w:pPr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ЗА – 374 707 656 705;</w:t>
            </w:r>
          </w:p>
          <w:p w:rsidR="007A1A69" w:rsidRPr="007A1A69" w:rsidRDefault="007A1A69" w:rsidP="007A1A69">
            <w:pPr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ПРОТИВ - 150 618 996 5/10;</w:t>
            </w:r>
          </w:p>
          <w:p w:rsidR="007A1A69" w:rsidRPr="007A1A69" w:rsidRDefault="007A1A69" w:rsidP="007A1A69">
            <w:pPr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ВОЗДЕРЖАЛСЯ - 86 845 328.</w:t>
            </w:r>
          </w:p>
          <w:p w:rsidR="007A1A69" w:rsidRPr="007A1A69" w:rsidRDefault="007A1A69" w:rsidP="007A1A69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7A1A69" w:rsidRPr="007A1A69" w:rsidRDefault="007A1A69" w:rsidP="007A1A69">
            <w:pPr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% от всех не заинтересованных в сделке акционеров, принявших участие в Собрании:</w:t>
            </w:r>
          </w:p>
          <w:p w:rsidR="007A1A69" w:rsidRPr="007A1A69" w:rsidRDefault="007A1A69" w:rsidP="007A1A69">
            <w:pPr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ЗА – 99.9308;</w:t>
            </w:r>
          </w:p>
          <w:p w:rsidR="007A1A69" w:rsidRPr="007A1A69" w:rsidRDefault="007A1A69" w:rsidP="007A1A69">
            <w:pPr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ПРОТИВ — 0.0402;</w:t>
            </w:r>
          </w:p>
          <w:p w:rsidR="007A1A69" w:rsidRPr="007A1A69" w:rsidRDefault="007A1A69" w:rsidP="007A1A69">
            <w:pPr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ВОЗДЕРЖАЛСЯ — 0.0232.</w:t>
            </w:r>
          </w:p>
          <w:p w:rsidR="007A1A69" w:rsidRPr="007A1A69" w:rsidRDefault="007A1A69" w:rsidP="007A1A69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7A1A69" w:rsidRPr="007A1A69" w:rsidRDefault="007A1A69" w:rsidP="007A1A69">
            <w:pPr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Число голосов, которые не подсчитывались в связи с признанием бюллетеней недействительными и по иным основаниям: 21 872 084.</w:t>
            </w:r>
          </w:p>
          <w:p w:rsidR="007A1A69" w:rsidRPr="007A1A69" w:rsidRDefault="007A1A69" w:rsidP="007A1A69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7A1A69" w:rsidRPr="007A1A69" w:rsidRDefault="007A1A69" w:rsidP="007A1A69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Принятое решение:</w:t>
            </w:r>
          </w:p>
          <w:p w:rsidR="007A1A69" w:rsidRPr="007A1A69" w:rsidRDefault="007A1A69" w:rsidP="007A1A69">
            <w:pPr>
              <w:ind w:left="-15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 xml:space="preserve">Предоставить согласие на совершение и/или последующее одобрение (как применимо) совокупности взаимосвязанных </w:t>
            </w:r>
            <w:r w:rsidRPr="007A1A69">
              <w:rPr>
                <w:rFonts w:ascii="Tahoma" w:hAnsi="Tahoma" w:cs="Tahoma"/>
                <w:sz w:val="24"/>
                <w:szCs w:val="24"/>
              </w:rPr>
              <w:lastRenderedPageBreak/>
              <w:t>сделок, а именно договора синдицированного кредита (далее — Кредитный договор), а также заключаемых в связи с ним сделок - договора фиксации максимума процентной ставки (далее — Договор ПФИ) и соглашения о списании денежных средств (далее — Соглашение о Списании), которые связаны с приобретением и отчуждением Обществом имущества, совокупная цена которого превышает 10% балансовой стоимости активов Общества, определенной на последнюю отчетную дату, в совершении которых имеется заинтересованность члена совета директоров Общества (информация не раскрывается на основании Постановления Правительства Российской Федерации от 04.07.2023 № 1102), одновременно занимающего должность в органе управления юридического лица, являющегося стороной по Кредитному договору, Договору ПФИ и Соглашению о Списании (далее – Взаимосвязанные Сделки с Заинтересованностью).</w:t>
            </w:r>
          </w:p>
          <w:p w:rsidR="007A1A69" w:rsidRPr="007A1A69" w:rsidRDefault="007A1A69" w:rsidP="007A1A69">
            <w:pPr>
              <w:ind w:left="-15"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 xml:space="preserve">Цена Взаимосвязанных Сделок с Заинтересованностью определена решением совета директоров Общества в размере 162 000 000 000 рублей. 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 xml:space="preserve">Срок действия настоящего решения - 15 лет с момента его принятия. 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1.  Основные условия Кредитного договора.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 xml:space="preserve">Стороны Кредитного договора: 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(а) ПАО «</w:t>
            </w:r>
            <w:proofErr w:type="spellStart"/>
            <w:r w:rsidRPr="007A1A69">
              <w:rPr>
                <w:rFonts w:ascii="Tahoma" w:hAnsi="Tahoma" w:cs="Tahoma"/>
                <w:sz w:val="24"/>
                <w:szCs w:val="24"/>
              </w:rPr>
              <w:t>РусГидро</w:t>
            </w:r>
            <w:proofErr w:type="spellEnd"/>
            <w:r w:rsidRPr="007A1A69">
              <w:rPr>
                <w:rFonts w:ascii="Tahoma" w:hAnsi="Tahoma" w:cs="Tahoma"/>
                <w:sz w:val="24"/>
                <w:szCs w:val="24"/>
              </w:rPr>
              <w:t>» в качестве заемщика (далее также — Заемщик);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(б) ВЭБ.РФ в качестве первоначального кредитора и кредитного управляющего (далее также — Кредитный Управляющий);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(в) ПАО Сбербанк в качестве первоначального кредитора;</w:t>
            </w:r>
          </w:p>
          <w:p w:rsidR="007A1A69" w:rsidRPr="007A1A69" w:rsidRDefault="007A1A69" w:rsidP="007A1A69">
            <w:pPr>
              <w:ind w:right="62"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lastRenderedPageBreak/>
              <w:t xml:space="preserve">(г) Банк ВТБ (ПАО) в качестве первоначального кредитора, </w:t>
            </w:r>
          </w:p>
          <w:p w:rsidR="007A1A69" w:rsidRPr="007A1A69" w:rsidRDefault="007A1A69" w:rsidP="007A1A69">
            <w:pPr>
              <w:ind w:right="62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(с учетом возможной уступки прав / передачи обязанностей / замены лиц, указанных в пунктах (б) - (г) настоящего пункта в соответствии с условиями Кредитного договора). ВЭБ.РФ, ПАО Сбербанк и ВТБ (ПАО) (далее — Кредиторы). Выгодоприобретатели Кредитного договора, помимо сторон, отсутствуют.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Предмет Кредитного договора:</w:t>
            </w:r>
          </w:p>
          <w:p w:rsidR="007A1A69" w:rsidRPr="007A1A69" w:rsidRDefault="007A1A69" w:rsidP="007A1A69">
            <w:pPr>
              <w:ind w:left="-15"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Каждый Кредитор, действуя через Кредитного Управляющего, обязуется предоставлять Заемщику Кредит в размере и на условиях, предусмотренных Кредитным договором, а Заемщик обязуется в течение срока действия Кредитного договора надлежащим образом исполнять предусмотренные Кредитным договором обязательства, включая обязательство возвратить каждому Кредитору сумму полученного от него непогашенного Кредита, уплатить проценты на него и выплатить Кредиторам и Кредитному Управляющему иные суммы, предусмотренные Кредитным договором.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Цель предоставления кредитных средств: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С учетом требований к целевому использованию, предусмотренных в Кредитном договоре (в том числе применительно к каждому из траншей/</w:t>
            </w:r>
            <w:proofErr w:type="spellStart"/>
            <w:r w:rsidRPr="007A1A69">
              <w:rPr>
                <w:rFonts w:ascii="Tahoma" w:hAnsi="Tahoma" w:cs="Tahoma"/>
                <w:sz w:val="24"/>
                <w:szCs w:val="24"/>
              </w:rPr>
              <w:t>субтраншей</w:t>
            </w:r>
            <w:proofErr w:type="spellEnd"/>
            <w:r w:rsidRPr="007A1A69">
              <w:rPr>
                <w:rFonts w:ascii="Tahoma" w:hAnsi="Tahoma" w:cs="Tahoma"/>
                <w:sz w:val="24"/>
                <w:szCs w:val="24"/>
              </w:rPr>
              <w:t xml:space="preserve">), кредит по Кредитному договору должен использоваться на цели финансирования затрат в рамках бюджета инвестиционного проекта «Расширение Партизанской ГРЭС», реализуемого Заемщиком в соответствии с распоряжением Правительства Российской Федерации от 30 сентября 2018 г. № 2101-р (далее — </w:t>
            </w:r>
            <w:r w:rsidRPr="007A1A69">
              <w:rPr>
                <w:rFonts w:ascii="Tahoma" w:hAnsi="Tahoma" w:cs="Tahoma"/>
                <w:sz w:val="24"/>
                <w:szCs w:val="24"/>
              </w:rPr>
              <w:lastRenderedPageBreak/>
              <w:t xml:space="preserve">Проект), включая, помимо прочего, затраты на проектирование, оборудование и материалы, выполнение строительно-монтажных работ, работ и услуг по монтажу, испытанию и пуско-наладке и выполнение прочих работ, производственные расходы, уплату НДС и таможенные платежи, а также иные затраты в рамках бюджета Проекта, необходимые для реализации Проекта и указанные в Кредитном договоре и/или согласованные с Кредиторами; при этом, </w:t>
            </w:r>
            <w:proofErr w:type="spellStart"/>
            <w:r w:rsidRPr="007A1A69">
              <w:rPr>
                <w:rFonts w:ascii="Tahoma" w:hAnsi="Tahoma" w:cs="Tahoma"/>
                <w:sz w:val="24"/>
                <w:szCs w:val="24"/>
              </w:rPr>
              <w:t>Субтранш</w:t>
            </w:r>
            <w:proofErr w:type="spellEnd"/>
            <w:r w:rsidRPr="007A1A69">
              <w:rPr>
                <w:rFonts w:ascii="Tahoma" w:hAnsi="Tahoma" w:cs="Tahoma"/>
                <w:sz w:val="24"/>
                <w:szCs w:val="24"/>
              </w:rPr>
              <w:t xml:space="preserve"> Б2 (в дополнение к указанным выше целям) может использоваться Заемщиком также на специальные цели, установленные для </w:t>
            </w:r>
            <w:proofErr w:type="spellStart"/>
            <w:r w:rsidRPr="007A1A69">
              <w:rPr>
                <w:rFonts w:ascii="Tahoma" w:hAnsi="Tahoma" w:cs="Tahoma"/>
                <w:sz w:val="24"/>
                <w:szCs w:val="24"/>
              </w:rPr>
              <w:t>Субтранша</w:t>
            </w:r>
            <w:proofErr w:type="spellEnd"/>
            <w:r w:rsidRPr="007A1A69">
              <w:rPr>
                <w:rFonts w:ascii="Tahoma" w:hAnsi="Tahoma" w:cs="Tahoma"/>
                <w:sz w:val="24"/>
                <w:szCs w:val="24"/>
              </w:rPr>
              <w:t xml:space="preserve"> Б2 в Кредитном договоре, включая: 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 xml:space="preserve">- возмещение понесенных, начиная с даты заключения Кредитного договора, затрат Заемщика, связанных с реализацией Проекта, профинансированных за счет собственных средств Заемщика; 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- рефинансирование основного долга по бридж-кредиту (бридж-кредитам), предоставленному(-ых) Заемщику на срок не более 3 лет для финансирования Проекта в рамках бюджета Проекта до даты заключения Кредитного договора банками-участниками Программы «Фабрика проектного финансирования», утвержденной постановлением Правительства Российской Федерации от 15 февраля 2018 г. № 158 «О программе Фабрика проектного финансирования» (далее – Постановление).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Период использования (выборки) кредита - с даты заключения Кредитного договора и до 30 декабря 2027 г. включительно.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Лимит кредитования по Кредитному договору:</w:t>
            </w:r>
          </w:p>
          <w:p w:rsidR="007A1A69" w:rsidRPr="007A1A69" w:rsidRDefault="007A1A69" w:rsidP="007A1A69">
            <w:pPr>
              <w:ind w:left="-15"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lastRenderedPageBreak/>
              <w:t xml:space="preserve">Совокупный лимит кредитования по Кредитному договору составляет не более 79 000 000 000 рублей и разделен на транш А и транш Б (включающий </w:t>
            </w:r>
            <w:proofErr w:type="spellStart"/>
            <w:r w:rsidRPr="007A1A69">
              <w:rPr>
                <w:rFonts w:ascii="Tahoma" w:hAnsi="Tahoma" w:cs="Tahoma"/>
                <w:sz w:val="24"/>
                <w:szCs w:val="24"/>
              </w:rPr>
              <w:t>субтранши</w:t>
            </w:r>
            <w:proofErr w:type="spellEnd"/>
            <w:r w:rsidRPr="007A1A69">
              <w:rPr>
                <w:rFonts w:ascii="Tahoma" w:hAnsi="Tahoma" w:cs="Tahoma"/>
                <w:sz w:val="24"/>
                <w:szCs w:val="24"/>
              </w:rPr>
              <w:t xml:space="preserve"> Б1 и Б2) следующим образом: </w:t>
            </w:r>
          </w:p>
          <w:tbl>
            <w:tblPr>
              <w:tblW w:w="0" w:type="auto"/>
              <w:tblCellMar>
                <w:left w:w="0" w:type="dxa"/>
                <w:right w:w="5" w:type="dxa"/>
              </w:tblCellMar>
              <w:tblLook w:val="0000" w:firstRow="0" w:lastRow="0" w:firstColumn="0" w:lastColumn="0" w:noHBand="0" w:noVBand="0"/>
            </w:tblPr>
            <w:tblGrid>
              <w:gridCol w:w="1707"/>
              <w:gridCol w:w="2848"/>
              <w:gridCol w:w="1121"/>
              <w:gridCol w:w="1875"/>
            </w:tblGrid>
            <w:tr w:rsidR="007A1A69" w:rsidRPr="007A1A69" w:rsidTr="00F8548E">
              <w:trPr>
                <w:trHeight w:val="307"/>
              </w:trPr>
              <w:tc>
                <w:tcPr>
                  <w:tcW w:w="17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A1A69" w:rsidRPr="007A1A69" w:rsidRDefault="007A1A69" w:rsidP="007A1A69">
                  <w:pPr>
                    <w:ind w:left="714" w:hanging="357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>Кредитор</w:t>
                  </w:r>
                </w:p>
              </w:tc>
              <w:tc>
                <w:tcPr>
                  <w:tcW w:w="2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A1A69" w:rsidRPr="007A1A69" w:rsidRDefault="007A1A69" w:rsidP="007A1A69">
                  <w:pPr>
                    <w:ind w:left="714" w:hanging="357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 xml:space="preserve">            Транш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A1A69" w:rsidRPr="007A1A69" w:rsidRDefault="007A1A69" w:rsidP="007A1A69">
                  <w:pPr>
                    <w:ind w:left="67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>Доля,</w:t>
                  </w:r>
                </w:p>
                <w:p w:rsidR="007A1A69" w:rsidRPr="007A1A69" w:rsidRDefault="007A1A69" w:rsidP="007A1A69">
                  <w:pPr>
                    <w:ind w:left="67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>в %</w:t>
                  </w:r>
                </w:p>
              </w:tc>
              <w:tc>
                <w:tcPr>
                  <w:tcW w:w="18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7A1A69" w:rsidRPr="007A1A69" w:rsidRDefault="007A1A69" w:rsidP="007A1A69">
                  <w:pPr>
                    <w:ind w:left="103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>Лимит выдачи,</w:t>
                  </w: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br/>
                    <w:t xml:space="preserve"> млрд. руб.</w:t>
                  </w:r>
                </w:p>
              </w:tc>
            </w:tr>
            <w:tr w:rsidR="007A1A69" w:rsidRPr="007A1A69" w:rsidTr="00F8548E">
              <w:trPr>
                <w:trHeight w:val="307"/>
              </w:trPr>
              <w:tc>
                <w:tcPr>
                  <w:tcW w:w="1707" w:type="dxa"/>
                  <w:vMerge w:val="restart"/>
                  <w:tcBorders>
                    <w:top w:val="single" w:sz="4" w:space="0" w:color="000000"/>
                  </w:tcBorders>
                  <w:shd w:val="clear" w:color="auto" w:fill="auto"/>
                </w:tcPr>
                <w:p w:rsidR="007A1A69" w:rsidRPr="007A1A69" w:rsidRDefault="007A1A69" w:rsidP="007A1A69">
                  <w:pPr>
                    <w:ind w:left="714" w:hanging="357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>ВЭБ.РФ</w:t>
                  </w:r>
                </w:p>
              </w:tc>
              <w:tc>
                <w:tcPr>
                  <w:tcW w:w="2848" w:type="dxa"/>
                  <w:tcBorders>
                    <w:top w:val="single" w:sz="4" w:space="0" w:color="000000"/>
                  </w:tcBorders>
                  <w:shd w:val="clear" w:color="auto" w:fill="auto"/>
                  <w:vAlign w:val="center"/>
                </w:tcPr>
                <w:p w:rsidR="007A1A69" w:rsidRPr="007A1A69" w:rsidRDefault="007A1A69" w:rsidP="007A1A69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>Транш А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/>
                  </w:tcBorders>
                  <w:shd w:val="clear" w:color="auto" w:fill="auto"/>
                  <w:vAlign w:val="center"/>
                </w:tcPr>
                <w:p w:rsidR="007A1A69" w:rsidRPr="007A1A69" w:rsidRDefault="007A1A69" w:rsidP="007A1A69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>10%</w:t>
                  </w:r>
                </w:p>
              </w:tc>
              <w:tc>
                <w:tcPr>
                  <w:tcW w:w="1875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7A1A69" w:rsidRPr="007A1A69" w:rsidRDefault="007A1A69" w:rsidP="00F8548E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>не более 7,9</w:t>
                  </w:r>
                </w:p>
              </w:tc>
            </w:tr>
            <w:tr w:rsidR="00F8548E" w:rsidRPr="007A1A69" w:rsidTr="00F8548E">
              <w:trPr>
                <w:trHeight w:val="396"/>
              </w:trPr>
              <w:tc>
                <w:tcPr>
                  <w:tcW w:w="1707" w:type="dxa"/>
                  <w:vMerge/>
                  <w:shd w:val="clear" w:color="auto" w:fill="auto"/>
                </w:tcPr>
                <w:p w:rsidR="007A1A69" w:rsidRPr="007A1A69" w:rsidRDefault="007A1A69" w:rsidP="007A1A69">
                  <w:pPr>
                    <w:ind w:firstLine="567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2848" w:type="dxa"/>
                  <w:shd w:val="clear" w:color="auto" w:fill="auto"/>
                </w:tcPr>
                <w:p w:rsidR="007A1A69" w:rsidRPr="007A1A69" w:rsidRDefault="007A1A69" w:rsidP="007A1A69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 xml:space="preserve">Транш Б / </w:t>
                  </w:r>
                  <w:proofErr w:type="spellStart"/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>Субтранш</w:t>
                  </w:r>
                  <w:proofErr w:type="spellEnd"/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 xml:space="preserve"> Б1</w:t>
                  </w: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:rsidR="007A1A69" w:rsidRPr="007A1A69" w:rsidRDefault="007A1A69" w:rsidP="007A1A69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>10%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7A1A69" w:rsidRPr="007A1A69" w:rsidRDefault="007A1A69" w:rsidP="00F8548E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>не более 7,9</w:t>
                  </w:r>
                </w:p>
              </w:tc>
            </w:tr>
            <w:tr w:rsidR="00F8548E" w:rsidRPr="007A1A69" w:rsidTr="00F8548E">
              <w:trPr>
                <w:trHeight w:val="396"/>
              </w:trPr>
              <w:tc>
                <w:tcPr>
                  <w:tcW w:w="1707" w:type="dxa"/>
                  <w:shd w:val="clear" w:color="auto" w:fill="auto"/>
                </w:tcPr>
                <w:p w:rsidR="007A1A69" w:rsidRPr="007A1A69" w:rsidRDefault="007A1A69" w:rsidP="007A1A69">
                  <w:pPr>
                    <w:ind w:left="81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>ПАО Сбербанк</w:t>
                  </w:r>
                </w:p>
              </w:tc>
              <w:tc>
                <w:tcPr>
                  <w:tcW w:w="2848" w:type="dxa"/>
                  <w:shd w:val="clear" w:color="auto" w:fill="auto"/>
                </w:tcPr>
                <w:p w:rsidR="007A1A69" w:rsidRPr="007A1A69" w:rsidRDefault="007A1A69" w:rsidP="007A1A69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 xml:space="preserve">Транш Б / </w:t>
                  </w:r>
                  <w:proofErr w:type="spellStart"/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>Субтранш</w:t>
                  </w:r>
                  <w:proofErr w:type="spellEnd"/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 xml:space="preserve"> Б2</w:t>
                  </w: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:rsidR="007A1A69" w:rsidRPr="007A1A69" w:rsidRDefault="007A1A69" w:rsidP="007A1A69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7A1A69" w:rsidRPr="007A1A69" w:rsidRDefault="007A1A69" w:rsidP="00F8548E">
                  <w:pPr>
                    <w:ind w:left="103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>не более 31,6</w:t>
                  </w:r>
                </w:p>
              </w:tc>
            </w:tr>
            <w:tr w:rsidR="00F8548E" w:rsidRPr="007A1A69" w:rsidTr="00F8548E">
              <w:trPr>
                <w:trHeight w:val="376"/>
              </w:trPr>
              <w:tc>
                <w:tcPr>
                  <w:tcW w:w="1707" w:type="dxa"/>
                  <w:shd w:val="clear" w:color="auto" w:fill="auto"/>
                </w:tcPr>
                <w:p w:rsidR="007A1A69" w:rsidRPr="007A1A69" w:rsidRDefault="007A1A69" w:rsidP="007A1A69">
                  <w:pPr>
                    <w:ind w:left="93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>Банк ВТБ (ПАО)</w:t>
                  </w:r>
                </w:p>
              </w:tc>
              <w:tc>
                <w:tcPr>
                  <w:tcW w:w="2848" w:type="dxa"/>
                  <w:shd w:val="clear" w:color="auto" w:fill="auto"/>
                </w:tcPr>
                <w:p w:rsidR="007A1A69" w:rsidRPr="007A1A69" w:rsidRDefault="007A1A69" w:rsidP="007A1A69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 xml:space="preserve">Транш Б / </w:t>
                  </w:r>
                  <w:proofErr w:type="spellStart"/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>Субтранш</w:t>
                  </w:r>
                  <w:proofErr w:type="spellEnd"/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 xml:space="preserve"> Б2</w:t>
                  </w:r>
                </w:p>
              </w:tc>
              <w:tc>
                <w:tcPr>
                  <w:tcW w:w="1121" w:type="dxa"/>
                  <w:shd w:val="clear" w:color="auto" w:fill="auto"/>
                </w:tcPr>
                <w:p w:rsidR="007A1A69" w:rsidRPr="007A1A69" w:rsidRDefault="007A1A69" w:rsidP="00F8548E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7A1A69" w:rsidRPr="007A1A69" w:rsidRDefault="007A1A69" w:rsidP="00F8548E">
                  <w:pPr>
                    <w:ind w:left="103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>не более 31,6</w:t>
                  </w:r>
                </w:p>
              </w:tc>
            </w:tr>
            <w:tr w:rsidR="00F8548E" w:rsidRPr="007A1A69" w:rsidTr="00F8548E">
              <w:trPr>
                <w:trHeight w:val="307"/>
              </w:trPr>
              <w:tc>
                <w:tcPr>
                  <w:tcW w:w="1707" w:type="dxa"/>
                  <w:shd w:val="clear" w:color="auto" w:fill="auto"/>
                </w:tcPr>
                <w:p w:rsidR="007A1A69" w:rsidRPr="007A1A69" w:rsidRDefault="007A1A69" w:rsidP="007A1A69">
                  <w:pPr>
                    <w:ind w:firstLine="567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848" w:type="dxa"/>
                  <w:shd w:val="clear" w:color="auto" w:fill="auto"/>
                </w:tcPr>
                <w:p w:rsidR="007A1A69" w:rsidRPr="007A1A69" w:rsidRDefault="007A1A69" w:rsidP="007A1A69">
                  <w:pPr>
                    <w:ind w:firstLine="567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:rsidR="007A1A69" w:rsidRPr="007A1A69" w:rsidRDefault="007A1A69" w:rsidP="007A1A69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7A1A69" w:rsidRPr="007A1A69" w:rsidRDefault="00F8548E" w:rsidP="00F8548E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="007A1A69" w:rsidRPr="007A1A69">
                    <w:rPr>
                      <w:rFonts w:ascii="Tahoma" w:hAnsi="Tahoma" w:cs="Tahoma"/>
                      <w:sz w:val="24"/>
                      <w:szCs w:val="24"/>
                    </w:rPr>
                    <w:t>не более 79</w:t>
                  </w:r>
                </w:p>
              </w:tc>
            </w:tr>
          </w:tbl>
          <w:p w:rsidR="007A1A69" w:rsidRPr="007A1A69" w:rsidRDefault="007A1A69" w:rsidP="007A1A69">
            <w:pPr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 xml:space="preserve">       Порядок погашения кредита и уплаты процентов:</w:t>
            </w:r>
          </w:p>
          <w:p w:rsidR="007A1A69" w:rsidRPr="007A1A69" w:rsidRDefault="007A1A69" w:rsidP="007A1A69">
            <w:pPr>
              <w:ind w:left="-15"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Уплата процентов производится в согласованные сторонами даты уплаты процентов (ежеквартально, а также в дату, наступающую не позднее 12-ти лет с даты заключения Кредитного договора).</w:t>
            </w:r>
          </w:p>
          <w:p w:rsidR="007A1A69" w:rsidRPr="007A1A69" w:rsidRDefault="007A1A69" w:rsidP="007A1A69">
            <w:pPr>
              <w:ind w:left="-15"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 xml:space="preserve">Кредит подлежит погашению ежеквартально, в согласованные сторонами даты уплаты процентов (в соответствии с графиком погашения кредита), начиная с 3-го квартала 2028 г., полное погашение осуществляется в дату, наступающую не позднее 12-ти лет с даты заключения Кредитного договора (при этом, кредит может быть погашен Заемщиком досрочно при соблюдении предусмотренных Кредитным договором условий, а также подлежать досрочному возврату в установленных в </w:t>
            </w:r>
            <w:r w:rsidRPr="007A1A69">
              <w:rPr>
                <w:rFonts w:ascii="Tahoma" w:hAnsi="Tahoma" w:cs="Tahoma"/>
                <w:sz w:val="24"/>
                <w:szCs w:val="24"/>
              </w:rPr>
              <w:lastRenderedPageBreak/>
              <w:t>Кредитном договоре случаях).</w:t>
            </w:r>
          </w:p>
          <w:p w:rsidR="007A1A69" w:rsidRPr="007A1A69" w:rsidRDefault="007A1A69" w:rsidP="007A1A69">
            <w:pPr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 xml:space="preserve">        Предельная процентная ставка по Кредитному договору:</w:t>
            </w:r>
          </w:p>
          <w:p w:rsidR="007A1A69" w:rsidRPr="007A1A69" w:rsidRDefault="007A1A69" w:rsidP="007A1A69">
            <w:pPr>
              <w:ind w:left="-15"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Процентной ставкой по непогашенному кредиту на каждый процентный период является годовая процентная ставка, равная сумме ключевой ставки Банка России (или заменяющей ее ставки) и применимой маржи в следующем размере:</w:t>
            </w:r>
          </w:p>
          <w:tbl>
            <w:tblPr>
              <w:tblW w:w="0" w:type="auto"/>
              <w:tblInd w:w="150" w:type="dxa"/>
              <w:tblCellMar>
                <w:left w:w="0" w:type="dxa"/>
                <w:right w:w="5" w:type="dxa"/>
              </w:tblCellMar>
              <w:tblLook w:val="0000" w:firstRow="0" w:lastRow="0" w:firstColumn="0" w:lastColumn="0" w:noHBand="0" w:noVBand="0"/>
            </w:tblPr>
            <w:tblGrid>
              <w:gridCol w:w="1908"/>
              <w:gridCol w:w="3096"/>
              <w:gridCol w:w="2397"/>
            </w:tblGrid>
            <w:tr w:rsidR="007A1A69" w:rsidRPr="007A1A69" w:rsidTr="007979B0">
              <w:trPr>
                <w:trHeight w:val="286"/>
              </w:trPr>
              <w:tc>
                <w:tcPr>
                  <w:tcW w:w="2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A1A69" w:rsidRPr="007A1A69" w:rsidRDefault="007A1A69" w:rsidP="007A1A69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 xml:space="preserve">      Кредитор</w:t>
                  </w:r>
                </w:p>
              </w:tc>
              <w:tc>
                <w:tcPr>
                  <w:tcW w:w="3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A1A69" w:rsidRPr="007A1A69" w:rsidRDefault="007A1A69" w:rsidP="007A1A69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>Транш</w:t>
                  </w:r>
                </w:p>
              </w:tc>
              <w:tc>
                <w:tcPr>
                  <w:tcW w:w="3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A1A69" w:rsidRPr="007A1A69" w:rsidRDefault="007A1A69" w:rsidP="007A1A69">
                  <w:pPr>
                    <w:ind w:firstLine="567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>Маржа, в % годовых</w:t>
                  </w:r>
                </w:p>
                <w:p w:rsidR="007A1A69" w:rsidRPr="007A1A69" w:rsidRDefault="007A1A69" w:rsidP="007A1A69">
                  <w:pPr>
                    <w:ind w:firstLine="567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>(не более)</w:t>
                  </w:r>
                </w:p>
              </w:tc>
            </w:tr>
            <w:tr w:rsidR="007A1A69" w:rsidRPr="007A1A69" w:rsidTr="007979B0">
              <w:trPr>
                <w:trHeight w:val="286"/>
              </w:trPr>
              <w:tc>
                <w:tcPr>
                  <w:tcW w:w="2278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7A1A69" w:rsidRPr="007A1A69" w:rsidRDefault="007A1A69" w:rsidP="007A1A69">
                  <w:pPr>
                    <w:ind w:left="714" w:hanging="357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>ВЭБ.РФ</w:t>
                  </w:r>
                </w:p>
              </w:tc>
              <w:tc>
                <w:tcPr>
                  <w:tcW w:w="3925" w:type="dxa"/>
                  <w:tcBorders>
                    <w:top w:val="single" w:sz="4" w:space="0" w:color="000000"/>
                  </w:tcBorders>
                  <w:shd w:val="clear" w:color="auto" w:fill="auto"/>
                  <w:vAlign w:val="center"/>
                </w:tcPr>
                <w:p w:rsidR="007A1A69" w:rsidRPr="007A1A69" w:rsidRDefault="007A1A69" w:rsidP="007A1A69">
                  <w:pPr>
                    <w:ind w:left="714" w:hanging="357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>Транш А</w:t>
                  </w:r>
                </w:p>
              </w:tc>
              <w:tc>
                <w:tcPr>
                  <w:tcW w:w="3145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7A1A69" w:rsidRPr="007A1A69" w:rsidRDefault="007A1A69" w:rsidP="007A1A69">
                  <w:pPr>
                    <w:ind w:firstLine="567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>2,60%</w:t>
                  </w:r>
                </w:p>
              </w:tc>
            </w:tr>
            <w:tr w:rsidR="007A1A69" w:rsidRPr="007A1A69" w:rsidTr="007979B0">
              <w:trPr>
                <w:trHeight w:val="375"/>
              </w:trPr>
              <w:tc>
                <w:tcPr>
                  <w:tcW w:w="2278" w:type="dxa"/>
                  <w:shd w:val="clear" w:color="auto" w:fill="auto"/>
                </w:tcPr>
                <w:p w:rsidR="007A1A69" w:rsidRPr="007A1A69" w:rsidRDefault="007A1A69" w:rsidP="007A1A69">
                  <w:pPr>
                    <w:ind w:firstLine="567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925" w:type="dxa"/>
                  <w:shd w:val="clear" w:color="auto" w:fill="auto"/>
                </w:tcPr>
                <w:p w:rsidR="007A1A69" w:rsidRPr="007A1A69" w:rsidRDefault="007A1A69" w:rsidP="007A1A69">
                  <w:pPr>
                    <w:ind w:left="714" w:hanging="357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 xml:space="preserve">Транш Б / </w:t>
                  </w:r>
                  <w:proofErr w:type="spellStart"/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>Субтранш</w:t>
                  </w:r>
                  <w:proofErr w:type="spellEnd"/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 xml:space="preserve"> Б1</w:t>
                  </w:r>
                </w:p>
              </w:tc>
              <w:tc>
                <w:tcPr>
                  <w:tcW w:w="3145" w:type="dxa"/>
                  <w:shd w:val="clear" w:color="auto" w:fill="auto"/>
                </w:tcPr>
                <w:p w:rsidR="007A1A69" w:rsidRPr="007A1A69" w:rsidRDefault="007A1A69" w:rsidP="007A1A69">
                  <w:pPr>
                    <w:ind w:firstLine="567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>3,50%</w:t>
                  </w:r>
                </w:p>
              </w:tc>
            </w:tr>
            <w:tr w:rsidR="007A1A69" w:rsidRPr="007A1A69" w:rsidTr="007979B0">
              <w:trPr>
                <w:trHeight w:val="396"/>
              </w:trPr>
              <w:tc>
                <w:tcPr>
                  <w:tcW w:w="2278" w:type="dxa"/>
                  <w:shd w:val="clear" w:color="auto" w:fill="auto"/>
                </w:tcPr>
                <w:p w:rsidR="007A1A69" w:rsidRPr="007A1A69" w:rsidRDefault="007A1A69" w:rsidP="007A1A69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>ПАО Сбербанк</w:t>
                  </w:r>
                </w:p>
              </w:tc>
              <w:tc>
                <w:tcPr>
                  <w:tcW w:w="3925" w:type="dxa"/>
                  <w:shd w:val="clear" w:color="auto" w:fill="auto"/>
                </w:tcPr>
                <w:p w:rsidR="007A1A69" w:rsidRPr="007A1A69" w:rsidRDefault="007A1A69" w:rsidP="007A1A69">
                  <w:pPr>
                    <w:ind w:left="714" w:hanging="357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 xml:space="preserve">Транш Б / </w:t>
                  </w:r>
                  <w:proofErr w:type="spellStart"/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>Субтранш</w:t>
                  </w:r>
                  <w:proofErr w:type="spellEnd"/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 xml:space="preserve"> Б2</w:t>
                  </w:r>
                </w:p>
              </w:tc>
              <w:tc>
                <w:tcPr>
                  <w:tcW w:w="3145" w:type="dxa"/>
                  <w:shd w:val="clear" w:color="auto" w:fill="auto"/>
                </w:tcPr>
                <w:p w:rsidR="007A1A69" w:rsidRPr="007A1A69" w:rsidRDefault="007A1A69" w:rsidP="007A1A69">
                  <w:pPr>
                    <w:ind w:firstLine="567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>1,94%</w:t>
                  </w:r>
                </w:p>
              </w:tc>
            </w:tr>
            <w:tr w:rsidR="007A1A69" w:rsidRPr="007A1A69" w:rsidTr="007979B0">
              <w:trPr>
                <w:trHeight w:val="307"/>
              </w:trPr>
              <w:tc>
                <w:tcPr>
                  <w:tcW w:w="2278" w:type="dxa"/>
                  <w:shd w:val="clear" w:color="auto" w:fill="auto"/>
                </w:tcPr>
                <w:p w:rsidR="007A1A69" w:rsidRPr="007A1A69" w:rsidRDefault="007A1A69" w:rsidP="007A1A69">
                  <w:pPr>
                    <w:ind w:left="12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>Банк ВТБ  (ПАО)</w:t>
                  </w:r>
                </w:p>
              </w:tc>
              <w:tc>
                <w:tcPr>
                  <w:tcW w:w="3925" w:type="dxa"/>
                  <w:shd w:val="clear" w:color="auto" w:fill="auto"/>
                </w:tcPr>
                <w:p w:rsidR="007A1A69" w:rsidRPr="007A1A69" w:rsidRDefault="007A1A69" w:rsidP="007A1A69">
                  <w:pPr>
                    <w:ind w:left="714" w:hanging="357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 xml:space="preserve">Транш Б / </w:t>
                  </w:r>
                  <w:proofErr w:type="spellStart"/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>Субтранш</w:t>
                  </w:r>
                  <w:proofErr w:type="spellEnd"/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 xml:space="preserve"> Б2</w:t>
                  </w:r>
                </w:p>
              </w:tc>
              <w:tc>
                <w:tcPr>
                  <w:tcW w:w="3145" w:type="dxa"/>
                  <w:shd w:val="clear" w:color="auto" w:fill="auto"/>
                </w:tcPr>
                <w:p w:rsidR="007A1A69" w:rsidRPr="007A1A69" w:rsidRDefault="007A1A69" w:rsidP="007A1A69">
                  <w:pPr>
                    <w:ind w:firstLine="567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A1A69">
                    <w:rPr>
                      <w:rFonts w:ascii="Tahoma" w:hAnsi="Tahoma" w:cs="Tahoma"/>
                      <w:sz w:val="24"/>
                      <w:szCs w:val="24"/>
                    </w:rPr>
                    <w:t>1,94%</w:t>
                  </w:r>
                </w:p>
              </w:tc>
            </w:tr>
          </w:tbl>
          <w:p w:rsidR="007A1A69" w:rsidRPr="007A1A69" w:rsidRDefault="007A1A69" w:rsidP="007A1A69">
            <w:pPr>
              <w:ind w:left="-15" w:firstLine="567"/>
              <w:rPr>
                <w:rFonts w:ascii="Tahoma" w:hAnsi="Tahoma" w:cs="Tahoma"/>
                <w:sz w:val="24"/>
                <w:szCs w:val="24"/>
              </w:rPr>
            </w:pPr>
          </w:p>
          <w:p w:rsidR="007A1A69" w:rsidRPr="007A1A69" w:rsidRDefault="007A1A69" w:rsidP="007A1A69">
            <w:pPr>
              <w:ind w:left="-15"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 xml:space="preserve">Процентная ставка по </w:t>
            </w:r>
            <w:proofErr w:type="spellStart"/>
            <w:r w:rsidRPr="007A1A69">
              <w:rPr>
                <w:rFonts w:ascii="Tahoma" w:hAnsi="Tahoma" w:cs="Tahoma"/>
                <w:sz w:val="24"/>
                <w:szCs w:val="24"/>
              </w:rPr>
              <w:t>Субтраншу</w:t>
            </w:r>
            <w:proofErr w:type="spellEnd"/>
            <w:r w:rsidRPr="007A1A69">
              <w:rPr>
                <w:rFonts w:ascii="Tahoma" w:hAnsi="Tahoma" w:cs="Tahoma"/>
                <w:sz w:val="24"/>
                <w:szCs w:val="24"/>
              </w:rPr>
              <w:t xml:space="preserve"> Б2 дополнительно увеличивается на:</w:t>
            </w:r>
          </w:p>
          <w:p w:rsidR="007A1A69" w:rsidRPr="007A1A69" w:rsidRDefault="007A1A69" w:rsidP="007A1A69">
            <w:pPr>
              <w:ind w:left="-15"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0,3 процентных пункта при одновременном наступлении следующих обстоятельств:</w:t>
            </w:r>
          </w:p>
          <w:p w:rsidR="007A1A69" w:rsidRPr="007A1A69" w:rsidRDefault="007A1A69" w:rsidP="007A1A69">
            <w:pPr>
              <w:ind w:left="-15"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механизм предоставления ликвидности Банком России в пользу банков содержит условие о наличии у Заемщика двух кредитных рейтингов от рейтинговых агентств, аккредитованных Банком России;</w:t>
            </w:r>
          </w:p>
          <w:p w:rsidR="007A1A69" w:rsidRPr="007A1A69" w:rsidRDefault="007A1A69" w:rsidP="007A1A69">
            <w:pPr>
              <w:ind w:left="-15"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 xml:space="preserve">наличие у Заемщика менее двух кредитных рейтингов от </w:t>
            </w:r>
            <w:r w:rsidRPr="007A1A69">
              <w:rPr>
                <w:rFonts w:ascii="Tahoma" w:hAnsi="Tahoma" w:cs="Tahoma"/>
                <w:sz w:val="24"/>
                <w:szCs w:val="24"/>
              </w:rPr>
              <w:lastRenderedPageBreak/>
              <w:t>рейтинговых агентств, аккредитованных Банком России, и/или присвоение хотя бы одного из двух кредитных рейтингов на уровне ниже «АА-».</w:t>
            </w:r>
          </w:p>
          <w:p w:rsidR="007A1A69" w:rsidRPr="007A1A69" w:rsidRDefault="007A1A69" w:rsidP="007A1A69">
            <w:pPr>
              <w:ind w:left="-15"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 xml:space="preserve">0,05 процентных пункта с момента выявления до момента устранения нарушения обязательств Заемщика по обеспечению сокращения расхода топлива (среднегодовых удельных значений) на единицу выработки электроэнергии Партизанской ГРЭС более чем на 5,5 % относительного базового 2022 года и предоставлении отчетов о таком сокращении Кредиторам. 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Процентный период: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 xml:space="preserve">Первый процентный период начинается с даты, следующей за датой первой выборки кредита, и заканчивается в ближайшую дату уплаты процентов (включительно). Каждый последующий процентный период равен трем месяцам. Последний процентный период заканчивается в дату полного возврата основного долга по Кредитному договору. 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Комиссия за открытие кредитной линии (комиссия за выдачу):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не более 0,75% от лимита кредитования по каждому траншу (</w:t>
            </w:r>
            <w:proofErr w:type="spellStart"/>
            <w:r w:rsidRPr="007A1A69">
              <w:rPr>
                <w:rFonts w:ascii="Tahoma" w:hAnsi="Tahoma" w:cs="Tahoma"/>
                <w:sz w:val="24"/>
                <w:szCs w:val="24"/>
              </w:rPr>
              <w:t>субтраншу</w:t>
            </w:r>
            <w:proofErr w:type="spellEnd"/>
            <w:r w:rsidRPr="007A1A69">
              <w:rPr>
                <w:rFonts w:ascii="Tahoma" w:hAnsi="Tahoma" w:cs="Tahoma"/>
                <w:sz w:val="24"/>
                <w:szCs w:val="24"/>
              </w:rPr>
              <w:t>); комиссия уплачивается в течение 90 календарных дней с даты заключения Кредитного договора, но не позднее первой выборки кредита.</w:t>
            </w:r>
          </w:p>
          <w:p w:rsidR="007A1A69" w:rsidRPr="007A1A69" w:rsidRDefault="007A1A69" w:rsidP="00F8548E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Комиссия за неиспользованный лимит (комиссия за</w:t>
            </w:r>
            <w:r w:rsidR="00F8548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7A1A69">
              <w:rPr>
                <w:rFonts w:ascii="Tahoma" w:hAnsi="Tahoma" w:cs="Tahoma"/>
                <w:sz w:val="24"/>
                <w:szCs w:val="24"/>
              </w:rPr>
              <w:t>обязательство)</w:t>
            </w:r>
          </w:p>
          <w:p w:rsidR="007A1A69" w:rsidRPr="007A1A69" w:rsidRDefault="007A1A69" w:rsidP="007A1A69">
            <w:pPr>
              <w:ind w:left="-15" w:firstLine="582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 xml:space="preserve">не более 0,65% годовых от суммы доступного неиспользованного лимита кредитования по каждому траншу </w:t>
            </w:r>
            <w:r w:rsidRPr="007A1A69">
              <w:rPr>
                <w:rFonts w:ascii="Tahoma" w:hAnsi="Tahoma" w:cs="Tahoma"/>
                <w:sz w:val="24"/>
                <w:szCs w:val="24"/>
              </w:rPr>
              <w:lastRenderedPageBreak/>
              <w:t>(</w:t>
            </w:r>
            <w:proofErr w:type="spellStart"/>
            <w:r w:rsidRPr="007A1A69">
              <w:rPr>
                <w:rFonts w:ascii="Tahoma" w:hAnsi="Tahoma" w:cs="Tahoma"/>
                <w:sz w:val="24"/>
                <w:szCs w:val="24"/>
              </w:rPr>
              <w:t>субтраншу</w:t>
            </w:r>
            <w:proofErr w:type="spellEnd"/>
            <w:r w:rsidRPr="007A1A69">
              <w:rPr>
                <w:rFonts w:ascii="Tahoma" w:hAnsi="Tahoma" w:cs="Tahoma"/>
                <w:sz w:val="24"/>
                <w:szCs w:val="24"/>
              </w:rPr>
              <w:t>); комиссия рассчитывается и начисляется в течение периода использования (выборки) кредита на условиях, установленных в Кредитном договоре, и уплачивается в каждую дату уплаты процентов.</w:t>
            </w:r>
          </w:p>
          <w:p w:rsidR="007A1A69" w:rsidRPr="007A1A69" w:rsidRDefault="007A1A69" w:rsidP="007A1A69">
            <w:pPr>
              <w:ind w:left="714" w:hanging="14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Комиссия за досрочное погашение:</w:t>
            </w:r>
          </w:p>
          <w:p w:rsidR="007A1A69" w:rsidRPr="007A1A69" w:rsidRDefault="007A1A69" w:rsidP="007A1A69">
            <w:pPr>
              <w:ind w:left="-15" w:firstLine="582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 xml:space="preserve">Добровольное досрочное погашение кредита допускается после истечения периода использования (выборки), установленного в Кредитном договоре (далее - Период досрочного погашения), при условии соблюдения установленных в Кредитном договоре условий, включая внесения Заемщиком платы за досрочный возврат кредита в размере не более указанного ниже процента от досрочно погашаемой суммы:   </w:t>
            </w:r>
          </w:p>
          <w:p w:rsidR="007A1A69" w:rsidRPr="007A1A69" w:rsidRDefault="007A1A69" w:rsidP="00F8548E">
            <w:pPr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 xml:space="preserve"> 1-й год Периода досрочного погашения- 4,0%;</w:t>
            </w:r>
          </w:p>
          <w:p w:rsidR="007A1A69" w:rsidRPr="007A1A69" w:rsidRDefault="007A1A69" w:rsidP="00F8548E">
            <w:pPr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 xml:space="preserve"> 2-й год Периода досрочного погашения - 3,5%;</w:t>
            </w:r>
          </w:p>
          <w:p w:rsidR="007A1A69" w:rsidRPr="007A1A69" w:rsidRDefault="007A1A69" w:rsidP="00F8548E">
            <w:pPr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 xml:space="preserve"> 3-й год Периода досрочного погашения - 3,0%;</w:t>
            </w:r>
          </w:p>
          <w:p w:rsidR="007A1A69" w:rsidRPr="007A1A69" w:rsidRDefault="007A1A69" w:rsidP="00F8548E">
            <w:pPr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 xml:space="preserve"> 4-й год Периода досрочного погашения - 1,0%;</w:t>
            </w:r>
          </w:p>
          <w:p w:rsidR="007A1A69" w:rsidRPr="007A1A69" w:rsidRDefault="007A1A69" w:rsidP="00F8548E">
            <w:pPr>
              <w:ind w:right="1988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 xml:space="preserve"> 5-й год Периода досрочного погашения - 0,5%;  </w:t>
            </w:r>
          </w:p>
          <w:p w:rsidR="007A1A69" w:rsidRPr="007A1A69" w:rsidRDefault="007A1A69" w:rsidP="007A1A69">
            <w:pPr>
              <w:ind w:right="1988"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далее - без взимания комиссии.</w:t>
            </w:r>
          </w:p>
          <w:p w:rsidR="007A1A69" w:rsidRPr="007A1A69" w:rsidRDefault="007A1A69" w:rsidP="007A1A69">
            <w:pPr>
              <w:ind w:left="-15"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Комиссия Кредитного Управляющего: 10 000 рублей в год без учета НДС.</w:t>
            </w:r>
          </w:p>
          <w:p w:rsidR="007A1A69" w:rsidRPr="007A1A69" w:rsidRDefault="007A1A69" w:rsidP="007A1A69">
            <w:pPr>
              <w:ind w:left="-15"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 xml:space="preserve">Неустойки: на сумму просроченной задолженности по Кредитному договору (помимо и сверх процентов на просроченную сумму непогашенного кредита (основного долга) начисляется неустойка в размерах, предусмотренных в Кредитном договоре, </w:t>
            </w:r>
            <w:r w:rsidRPr="007A1A69">
              <w:rPr>
                <w:rFonts w:ascii="Tahoma" w:hAnsi="Tahoma" w:cs="Tahoma"/>
                <w:sz w:val="24"/>
                <w:szCs w:val="24"/>
              </w:rPr>
              <w:lastRenderedPageBreak/>
              <w:t xml:space="preserve">исходя из увеличенных процентных ставок по Кредитному договору. 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Возмещение расходов Кредиторов: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 xml:space="preserve">В соответствии с условиями Кредитного договора (или иного соглашения, заключаемого в связи с Кредитным договором) Общество принимает на себя обязательства по уплате сумм дополнительных издержек, затрат, расходов и других платежей, установленных и определяемых в соответствии с Кредитным договором, включая, но не ограничиваясь, обязательства по возмещению расходов Кредиторов, в том числе, расходов </w:t>
            </w:r>
            <w:r w:rsidRPr="007A1A69">
              <w:rPr>
                <w:rFonts w:ascii="Tahoma" w:hAnsi="Tahoma" w:cs="Tahoma"/>
                <w:sz w:val="24"/>
                <w:szCs w:val="24"/>
              </w:rPr>
              <w:br/>
              <w:t xml:space="preserve">ПАО Сбербанк, связанных с организацией Кредитного договора, а также расходов ПАО Сбербанк на привлечение юридического консультанта для целей подготовки Кредитного договора и согласованных изменений к нему (в размере не более 17 500 000 рублей) и расходов ПАО Сбербанк на привлечение технического консультанта (в размере не более 196 000 000 рублей). 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Иные условия Кредитного договора: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Между ВЭБ.РФ и Заемщиком заключается Договор ПФИ, со следующими существенными условиями.</w:t>
            </w:r>
          </w:p>
          <w:p w:rsidR="007A1A69" w:rsidRPr="007A1A69" w:rsidRDefault="007A1A69" w:rsidP="007A1A69">
            <w:pPr>
              <w:ind w:left="-15"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Заемщик обязуется обеспечить финансирование Проекта за счет собственного участия (средств) в объеме не менее 15 % бюджета Проекта.</w:t>
            </w:r>
          </w:p>
          <w:p w:rsidR="007A1A69" w:rsidRPr="007A1A69" w:rsidRDefault="007A1A69" w:rsidP="007A1A69">
            <w:pPr>
              <w:ind w:left="-15"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 xml:space="preserve">Заемщик открывает счет (счета) в ВЭБ.РФ, в отношении которого (которых) Кредитному Управляющему предоставляется право заранее данного акцепта на условиях и в порядке, установленных в Соглашении о Списании, а также обязуется </w:t>
            </w:r>
            <w:r w:rsidRPr="007A1A69">
              <w:rPr>
                <w:rFonts w:ascii="Tahoma" w:hAnsi="Tahoma" w:cs="Tahoma"/>
                <w:sz w:val="24"/>
                <w:szCs w:val="24"/>
              </w:rPr>
              <w:lastRenderedPageBreak/>
              <w:t xml:space="preserve">обеспечить проведение расчетов по Проекту (в течение всего срока действия Кредитного договора) через отдельный обособленный банковский счет Заемщика, открытый в ПАО Сбербанк или ином банке, согласованном с Кредиторами для банковского сопровождения Проекта; по согласованию с Кредиторами для целей Кредитного договора Заемщиком могут быть открыты счета в иных банках (в том числе с условием о предоставлении Кредитному Управляющему права </w:t>
            </w:r>
            <w:proofErr w:type="spellStart"/>
            <w:r w:rsidRPr="007A1A69">
              <w:rPr>
                <w:rFonts w:ascii="Tahoma" w:hAnsi="Tahoma" w:cs="Tahoma"/>
                <w:sz w:val="24"/>
                <w:szCs w:val="24"/>
              </w:rPr>
              <w:t>безакцептного</w:t>
            </w:r>
            <w:proofErr w:type="spellEnd"/>
            <w:r w:rsidRPr="007A1A69">
              <w:rPr>
                <w:rFonts w:ascii="Tahoma" w:hAnsi="Tahoma" w:cs="Tahoma"/>
                <w:sz w:val="24"/>
                <w:szCs w:val="24"/>
              </w:rPr>
              <w:t xml:space="preserve"> списания с них).</w:t>
            </w:r>
          </w:p>
          <w:p w:rsidR="007A1A69" w:rsidRPr="007A1A69" w:rsidRDefault="007A1A69" w:rsidP="007A1A69">
            <w:pPr>
              <w:ind w:left="-15"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Кредитный договор содержит иные информационные, финансовые и поведенческие обязательства Заемщика, а также предусматривает порядок принятия Кредиторами решений и порядок исполнения ими обязанностей в отношении Заемщика, содержит перечень полномочий Кредитного Управляющего и включает в себя применимые императивные требования к договорам синдицированного кредитования, предусмотренные Постановлением.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2. Основные условия Договора ПФИ.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Стороны Договора ПФИ: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(а) ВЭБ.РФ — Плательщик Плавающей суммы (далее — Сторона А);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(б) ПАО «</w:t>
            </w:r>
            <w:proofErr w:type="spellStart"/>
            <w:r w:rsidRPr="007A1A69">
              <w:rPr>
                <w:rFonts w:ascii="Tahoma" w:hAnsi="Tahoma" w:cs="Tahoma"/>
                <w:sz w:val="24"/>
                <w:szCs w:val="24"/>
              </w:rPr>
              <w:t>РусГидро</w:t>
            </w:r>
            <w:proofErr w:type="spellEnd"/>
            <w:r w:rsidRPr="007A1A69">
              <w:rPr>
                <w:rFonts w:ascii="Tahoma" w:hAnsi="Tahoma" w:cs="Tahoma"/>
                <w:sz w:val="24"/>
                <w:szCs w:val="24"/>
              </w:rPr>
              <w:t>» — Плательщик Фиксированной суммы (далее - Сторона Б).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Выгодоприобретатели, не являющиеся стороной Договора ПФИ, отсутствуют.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lastRenderedPageBreak/>
              <w:t>Предмет Договора ПФИ:</w:t>
            </w:r>
          </w:p>
          <w:p w:rsidR="007A1A69" w:rsidRPr="007A1A69" w:rsidRDefault="007A1A69" w:rsidP="007A1A69">
            <w:pPr>
              <w:ind w:left="-15"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В соответствии с условиями Договора ПФИ стороны договорились совершить сделку фиксации максимума процентной ставки (далее — Сделка), в рамках которой Сторона Б единовременно (в дату платежа Фиксированной суммы, как она описана ниже) уплачивает в пользу Стороны А Фиксированную сумму (как она описана ниже), а Сторона А периодически (в Дату платежа Плавающих сумм, как она описана ниже) уплачивает Стороне Б Плавающую сумму (как она описана ниже, включая описание порядка ее расчета).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Номинальная сумма: не более 79,0 млрд. рублей.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Номинальная сумма определяется как размер предоставленного и непогашенного Стороной Б кредита в рублях по Кредитному договору на каждую дату Процентного Периода (как он определен в Кредитном договоре) действия Сделки.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Дата начала срока: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Дата первого предоставления Стороне Б кредита по Кредитному договору, но не ранее даты подписания Договора ПФИ.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Дата истечения срока: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Договор заключается до конца текущего календарного года и в дальнейшем ежегодно автоматически продлевается на один календарный год каждый раз по окончании срока его действия до дня истечения наиболее продолжительного периода из: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5 (пяти) лет с даты заключения Кредитного договора или;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lastRenderedPageBreak/>
              <w:t xml:space="preserve">2 (двух) лет с фактической даты начала поставки мощности по Проекту, определенной в Кредитном договоре 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и при условии, что Стороне А предоставляется субсидия в соответствии с Правилами предоставления субсидий из федерального бюджета в виде имущественных взносов Российской Федерации ВЭБ.РФ на возмещение расходов в связи с предоставлением кредитов и займов в рамках реализации механизма «Фабрика проектного финансирования», утвержденного Постановлением.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Фиксированная сумма: 1 000 рублей.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Дата платежа Фиксированной суммы: единовременно, не позднее даты начала срока.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Максимальная ставка: 7,95% годовых.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Плавающая ставка: ключевая ставка Банка России, действующая на каждую дату Процентного Периода (как он определен в Кредитном договоре).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 xml:space="preserve">Плавающая сумма определяется применительно к каждому Процентному Периоду (как он определен в Кредитном договоре) путем суммирования следующих значений, рассчитанных на каждую календарную дату Процентного Периода (как он определен в Кредитном договоре): 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 xml:space="preserve">номинальная сумма х MAX (0;(плавающая ставка — максимальная ставка) / фактическое количество дней в году, где МАХ (0;(плавающая ставка — максимальная ставка) - величина разницы между плавающей ставкой и максимальной ставкой, в </w:t>
            </w:r>
            <w:r w:rsidRPr="007A1A69">
              <w:rPr>
                <w:rFonts w:ascii="Tahoma" w:hAnsi="Tahoma" w:cs="Tahoma"/>
                <w:sz w:val="24"/>
                <w:szCs w:val="24"/>
              </w:rPr>
              <w:lastRenderedPageBreak/>
              <w:t>случае если эта разница принимает положительное значение.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Дата платежа Плавающих сумм:</w:t>
            </w:r>
          </w:p>
          <w:p w:rsidR="007A1A69" w:rsidRPr="007A1A69" w:rsidRDefault="007A1A69" w:rsidP="007A1A69">
            <w:pPr>
              <w:ind w:left="-15"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Каждая дата уплаты процентов по Кредитному договору при условии, что соблюдаются следующие условия:</w:t>
            </w:r>
          </w:p>
          <w:p w:rsidR="007A1A69" w:rsidRPr="007A1A69" w:rsidRDefault="007A1A69" w:rsidP="007A1A69">
            <w:pPr>
              <w:ind w:left="-15"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(а) произошло фактическое получение Стороной А всей суммы процентов, подлежащих уплате Стороной Б в соответствующую дату уплаты процентов по Кредитному договору; или</w:t>
            </w:r>
          </w:p>
          <w:p w:rsidR="007A1A69" w:rsidRPr="007A1A69" w:rsidRDefault="007A1A69" w:rsidP="007A1A69">
            <w:pPr>
              <w:ind w:left="-15"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 xml:space="preserve">(б) по состоянию на дату платежа плавающей суммы Сторона А не направила Стороне Б уведомление о наступлении любого из дополнительных оснований прекращения, указанных в Договоре ПФИ, с указанием даты досрочного прекращения, направляемое в соответствии с Договором ПФИ. 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Применение примерных / стандартных условий.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К правоотношениям сторон по Договору ПФИ применяются: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 xml:space="preserve">(а) Стандартные условия срочных сделок на процентные ставки, сделок валютно-процентный своп и сделок </w:t>
            </w:r>
            <w:proofErr w:type="spellStart"/>
            <w:r w:rsidRPr="007A1A69">
              <w:rPr>
                <w:rFonts w:ascii="Tahoma" w:hAnsi="Tahoma" w:cs="Tahoma"/>
                <w:sz w:val="24"/>
                <w:szCs w:val="24"/>
              </w:rPr>
              <w:t>свопцион</w:t>
            </w:r>
            <w:proofErr w:type="spellEnd"/>
            <w:r w:rsidRPr="007A1A69">
              <w:rPr>
                <w:rFonts w:ascii="Tahoma" w:hAnsi="Tahoma" w:cs="Tahoma"/>
                <w:sz w:val="24"/>
                <w:szCs w:val="24"/>
              </w:rPr>
              <w:t xml:space="preserve"> 2011 г., разработанные и утвержденные саморегулируемой (некоммерческой) организацией «Национальная ассоциация участников фондового рынка» (далее — НАУФОР), Национальной Финансовой Ассоциацией и Ассоциацией российских банков (в редакции, действующей в соответствующий момент времени); 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 xml:space="preserve">(б) Примерные условия договора о срочных сделках на финансовых рынках 2011 г., разработанные и утвержденные НАУФОР, Национальной Финансовой Ассоциацией и Ассоциацией </w:t>
            </w:r>
            <w:r w:rsidRPr="007A1A69">
              <w:rPr>
                <w:rFonts w:ascii="Tahoma" w:hAnsi="Tahoma" w:cs="Tahoma"/>
                <w:sz w:val="24"/>
                <w:szCs w:val="24"/>
              </w:rPr>
              <w:lastRenderedPageBreak/>
              <w:t xml:space="preserve">российских банков (в редакции, действующей в соответствующий момент времени), за исключением положений, в отношении которых Договором ПФИ предусмотрено, что соответствующие положения не применяются к правоотношениям сторон по Договору ПФИ. </w:t>
            </w:r>
          </w:p>
          <w:p w:rsidR="007A1A69" w:rsidRPr="007A1A69" w:rsidRDefault="007A1A69" w:rsidP="007A1A69">
            <w:pPr>
              <w:ind w:left="-142" w:right="-13" w:firstLine="709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 xml:space="preserve">3. Основные условия Соглашения о Списании. </w:t>
            </w:r>
          </w:p>
          <w:p w:rsidR="007A1A69" w:rsidRPr="007A1A69" w:rsidRDefault="007A1A69" w:rsidP="007A1A69">
            <w:pPr>
              <w:ind w:left="-142" w:right="-13" w:firstLine="709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Стороны Соглашения о Списании:</w:t>
            </w:r>
          </w:p>
          <w:p w:rsidR="007A1A69" w:rsidRPr="007A1A69" w:rsidRDefault="007A1A69" w:rsidP="007A1A69">
            <w:pPr>
              <w:ind w:left="714" w:right="-15" w:hanging="14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 xml:space="preserve">(а) ВЭБ.РФ в качестве Кредитного управляющего и расчетного банка; </w:t>
            </w:r>
          </w:p>
          <w:p w:rsidR="007A1A69" w:rsidRPr="007A1A69" w:rsidRDefault="007A1A69" w:rsidP="007A1A69">
            <w:pPr>
              <w:ind w:left="714" w:hanging="35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 xml:space="preserve">    (б) Общество в качестве клиента.</w:t>
            </w:r>
          </w:p>
          <w:p w:rsidR="007A1A69" w:rsidRPr="007A1A69" w:rsidRDefault="007A1A69" w:rsidP="007A1A69">
            <w:pPr>
              <w:ind w:left="-15"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Выгодоприобретатели, не являющиеся стороной Соглашения о Списании: Кредиторы по Кредитному договору.</w:t>
            </w:r>
          </w:p>
          <w:p w:rsidR="007A1A69" w:rsidRPr="007A1A69" w:rsidRDefault="007A1A69" w:rsidP="007A1A69">
            <w:pPr>
              <w:ind w:firstLine="567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Предмет Соглашения о Списании:</w:t>
            </w:r>
          </w:p>
          <w:p w:rsidR="006466CC" w:rsidRPr="007A1A69" w:rsidRDefault="007A1A69" w:rsidP="00F8548E">
            <w:pPr>
              <w:widowControl w:val="0"/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Общество поручает ВЭБ.РФ и предоставляет ВЭБ.РФ право и дает безотзывное, не требующее выполнения каких-либо условий согласие без дополнительного распоряжения Общества списывать со счетов Общества, открытых в ВЭБ.РФ для целей Кредитного договора, денежные средства на основании распоряжения, платежного требования, инкассового поручения, письменного уведомления или иного документа, составленного Кредитным Управляющим, с целью погашения любой задолженности и обязательств Общества по Кредитному договору или в связи с ним.  Соглашение о Списании вступает в силу с даты его подписания и действует до даты прекращения всех обязательств Общества по Кредитному договору или в связи с ним.</w:t>
            </w:r>
          </w:p>
        </w:tc>
      </w:tr>
      <w:tr w:rsidR="006466CC" w:rsidRPr="007A1A69" w:rsidTr="00FF0EEE">
        <w:tc>
          <w:tcPr>
            <w:tcW w:w="7542" w:type="dxa"/>
            <w:shd w:val="clear" w:color="auto" w:fill="auto"/>
            <w:vAlign w:val="center"/>
          </w:tcPr>
          <w:p w:rsidR="006466CC" w:rsidRPr="007A1A69" w:rsidRDefault="006466CC" w:rsidP="00FF0EE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7" w:name="_Toc462933647"/>
            <w:r w:rsidRPr="007A1A69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Дата составления и номер протокола общего собрания акционеров эмитента:</w:t>
            </w:r>
            <w:bookmarkEnd w:id="7"/>
          </w:p>
        </w:tc>
        <w:tc>
          <w:tcPr>
            <w:tcW w:w="7767" w:type="dxa"/>
            <w:shd w:val="clear" w:color="auto" w:fill="auto"/>
            <w:vAlign w:val="center"/>
          </w:tcPr>
          <w:p w:rsidR="006466CC" w:rsidRPr="007A1A69" w:rsidRDefault="00FB1AA6" w:rsidP="00FF0EEE">
            <w:pPr>
              <w:rPr>
                <w:rFonts w:ascii="Tahoma" w:hAnsi="Tahoma" w:cs="Tahoma"/>
                <w:sz w:val="24"/>
                <w:szCs w:val="24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Протокол внеочередного Общего собрания акционеров от 20 декабря 2024 № 24.</w:t>
            </w:r>
          </w:p>
        </w:tc>
      </w:tr>
      <w:tr w:rsidR="006466CC" w:rsidRPr="005456CB" w:rsidTr="00FF0EEE">
        <w:tc>
          <w:tcPr>
            <w:tcW w:w="7542" w:type="dxa"/>
            <w:shd w:val="clear" w:color="auto" w:fill="auto"/>
            <w:vAlign w:val="center"/>
          </w:tcPr>
          <w:p w:rsidR="006466CC" w:rsidRPr="007A1A69" w:rsidRDefault="006466CC" w:rsidP="00FF0EE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8" w:name="_Toc462933648"/>
            <w:r w:rsidRPr="007A1A69">
              <w:rPr>
                <w:rFonts w:ascii="Tahoma" w:eastAsia="Times New Roman" w:hAnsi="Tahoma" w:cs="Tahoma"/>
                <w:sz w:val="24"/>
                <w:lang w:eastAsia="ru-RU"/>
              </w:rPr>
              <w:t>Вид ценных бумаг (акции), категория (тип) и иные идентификационные признаки акций, указанные в решении о выпуске акций, владельцы которых имеют право на участие в общем собрании акционеров эмитента:</w:t>
            </w:r>
            <w:bookmarkEnd w:id="8"/>
          </w:p>
        </w:tc>
        <w:tc>
          <w:tcPr>
            <w:tcW w:w="7767" w:type="dxa"/>
            <w:shd w:val="clear" w:color="auto" w:fill="auto"/>
            <w:vAlign w:val="center"/>
          </w:tcPr>
          <w:p w:rsidR="006466CC" w:rsidRPr="007A1A69" w:rsidRDefault="00FB1AA6" w:rsidP="00FB1AA6">
            <w:pPr>
              <w:widowControl w:val="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A1A69">
              <w:rPr>
                <w:rFonts w:ascii="Tahoma" w:hAnsi="Tahoma" w:cs="Tahoma"/>
                <w:sz w:val="24"/>
                <w:szCs w:val="24"/>
              </w:rPr>
              <w:t>акции обыкновенные, регистрационный номер выпуска ценных бумаг и дата его регистрации: 1-01-55038-Е от 22.02.2005,</w:t>
            </w:r>
            <w:r w:rsidRPr="007A1A69">
              <w:rPr>
                <w:rFonts w:ascii="Tahoma" w:hAnsi="Tahoma" w:cs="Tahoma"/>
                <w:sz w:val="24"/>
                <w:szCs w:val="24"/>
              </w:rPr>
              <w:br/>
              <w:t>ISIN RU000A0JPKH7; CFI: ESVXFR.</w:t>
            </w:r>
          </w:p>
        </w:tc>
      </w:tr>
    </w:tbl>
    <w:p w:rsidR="009D292C" w:rsidRDefault="009D292C" w:rsidP="009C7BAD"/>
    <w:sectPr w:rsidR="009D292C" w:rsidSect="006466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CC"/>
    <w:rsid w:val="00565855"/>
    <w:rsid w:val="006466CC"/>
    <w:rsid w:val="006E5E32"/>
    <w:rsid w:val="007A1A69"/>
    <w:rsid w:val="009C7BAD"/>
    <w:rsid w:val="009D292C"/>
    <w:rsid w:val="00DF53CD"/>
    <w:rsid w:val="00E03D00"/>
    <w:rsid w:val="00F8548E"/>
    <w:rsid w:val="00FB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A7C03-A4EB-4FBC-A069-89FD52EC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6466C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annotation text"/>
    <w:basedOn w:val="a"/>
    <w:link w:val="a6"/>
    <w:uiPriority w:val="99"/>
    <w:unhideWhenUsed/>
    <w:rsid w:val="006466CC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6466CC"/>
    <w:rPr>
      <w:rFonts w:ascii="Calibri" w:eastAsia="Calibri" w:hAnsi="Calibri" w:cs="Times New Roman"/>
      <w:sz w:val="20"/>
      <w:szCs w:val="20"/>
    </w:rPr>
  </w:style>
  <w:style w:type="table" w:styleId="a7">
    <w:name w:val="Table Grid"/>
    <w:basedOn w:val="a1"/>
    <w:uiPriority w:val="59"/>
    <w:rsid w:val="006466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6466CC"/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semiHidden/>
    <w:unhideWhenUsed/>
    <w:rsid w:val="006466C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466CC"/>
  </w:style>
  <w:style w:type="paragraph" w:customStyle="1" w:styleId="western">
    <w:name w:val="western"/>
    <w:basedOn w:val="a"/>
    <w:rsid w:val="00646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FB1AA6"/>
    <w:rPr>
      <w:color w:val="0000FF"/>
      <w:u w:val="single"/>
    </w:rPr>
  </w:style>
  <w:style w:type="table" w:customStyle="1" w:styleId="TableGrid">
    <w:name w:val="TableGrid"/>
    <w:rsid w:val="0056585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3087</Words>
  <Characters>17596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Р. Ефимова</dc:creator>
  <cp:keywords/>
  <dc:description/>
  <cp:lastModifiedBy>Иванова Наталия Ивановна</cp:lastModifiedBy>
  <cp:revision>2</cp:revision>
  <dcterms:created xsi:type="dcterms:W3CDTF">2024-12-24T03:49:00Z</dcterms:created>
  <dcterms:modified xsi:type="dcterms:W3CDTF">2024-12-24T03:49:00Z</dcterms:modified>
</cp:coreProperties>
</file>