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2268F">
      <w:pPr>
        <w:pStyle w:val="1"/>
        <w:rPr>
          <w:rFonts w:eastAsia="Times New Roman"/>
        </w:rPr>
      </w:pPr>
      <w:r>
        <w:rPr>
          <w:rFonts w:eastAsia="Times New Roman"/>
        </w:rPr>
        <w:t xml:space="preserve"> </w:t>
      </w:r>
      <w:r>
        <w:rPr>
          <w:rFonts w:eastAsia="Times New Roman"/>
        </w:rPr>
        <w:t>(MEET) О корпоративном действии "Годовое общее собрание акционеров" с ценными бумагами эмитента ПАО "</w:t>
      </w:r>
      <w:proofErr w:type="spellStart"/>
      <w:r>
        <w:rPr>
          <w:rFonts w:eastAsia="Times New Roman"/>
        </w:rPr>
        <w:t>РусГидро</w:t>
      </w:r>
      <w:proofErr w:type="spellEnd"/>
      <w:r>
        <w:rPr>
          <w:rFonts w:eastAsia="Times New Roman"/>
        </w:rPr>
        <w:t>" ИНН 2460066195 (акция 1-01-55038-E / ISIN RU000A0JPKH7)</w:t>
      </w:r>
    </w:p>
    <w:tbl>
      <w:tblPr>
        <w:tblW w:w="5000" w:type="pct"/>
        <w:tblCellSpacing w:w="7" w:type="dxa"/>
        <w:tblCellMar>
          <w:left w:w="0" w:type="dxa"/>
          <w:right w:w="0" w:type="dxa"/>
        </w:tblCellMar>
        <w:tblLook w:val="04A0" w:firstRow="1" w:lastRow="0" w:firstColumn="1" w:lastColumn="0" w:noHBand="0" w:noVBand="1"/>
      </w:tblPr>
      <w:tblGrid>
        <w:gridCol w:w="7150"/>
        <w:gridCol w:w="7420"/>
      </w:tblGrid>
      <w:tr w:rsidR="00000000">
        <w:trPr>
          <w:tblHeader/>
          <w:tblCellSpacing w:w="7" w:type="dxa"/>
        </w:trPr>
        <w:tc>
          <w:tcPr>
            <w:tcW w:w="0" w:type="auto"/>
            <w:gridSpan w:val="2"/>
            <w:shd w:val="clear" w:color="auto" w:fill="BBBBBB"/>
            <w:vAlign w:val="center"/>
            <w:hideMark/>
          </w:tcPr>
          <w:p w:rsidR="00000000" w:rsidRDefault="00C2268F">
            <w:pPr>
              <w:jc w:val="center"/>
              <w:rPr>
                <w:rFonts w:eastAsia="Times New Roman"/>
                <w:b/>
                <w:bCs/>
              </w:rPr>
            </w:pPr>
            <w:r>
              <w:rPr>
                <w:rFonts w:eastAsia="Times New Roman"/>
                <w:b/>
                <w:bCs/>
              </w:rPr>
              <w:t>Реквизиты корпоративного действия</w:t>
            </w:r>
          </w:p>
        </w:tc>
      </w:tr>
      <w:tr w:rsidR="00000000">
        <w:trPr>
          <w:tblCellSpacing w:w="7" w:type="dxa"/>
        </w:trPr>
        <w:tc>
          <w:tcPr>
            <w:tcW w:w="0" w:type="auto"/>
            <w:shd w:val="clear" w:color="auto" w:fill="EEEEEE"/>
            <w:vAlign w:val="center"/>
            <w:hideMark/>
          </w:tcPr>
          <w:p w:rsidR="00000000" w:rsidRDefault="00C2268F">
            <w:pPr>
              <w:rPr>
                <w:rFonts w:eastAsia="Times New Roman"/>
              </w:rPr>
            </w:pPr>
            <w:proofErr w:type="spellStart"/>
            <w:r>
              <w:rPr>
                <w:rFonts w:eastAsia="Times New Roman"/>
              </w:rPr>
              <w:t>Референс</w:t>
            </w:r>
            <w:proofErr w:type="spellEnd"/>
            <w:r>
              <w:rPr>
                <w:rFonts w:eastAsia="Times New Roman"/>
              </w:rPr>
              <w:t xml:space="preserve"> корпоративного действия</w:t>
            </w:r>
          </w:p>
        </w:tc>
        <w:tc>
          <w:tcPr>
            <w:tcW w:w="0" w:type="auto"/>
            <w:shd w:val="clear" w:color="auto" w:fill="EEEEEE"/>
            <w:vAlign w:val="center"/>
            <w:hideMark/>
          </w:tcPr>
          <w:p w:rsidR="00000000" w:rsidRDefault="00C2268F">
            <w:pPr>
              <w:wordWrap w:val="0"/>
              <w:rPr>
                <w:rFonts w:eastAsia="Times New Roman"/>
              </w:rPr>
            </w:pPr>
            <w:r>
              <w:rPr>
                <w:rFonts w:eastAsia="Times New Roman"/>
              </w:rPr>
              <w:t>795964</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Код типа корпоративного действия</w:t>
            </w:r>
          </w:p>
        </w:tc>
        <w:tc>
          <w:tcPr>
            <w:tcW w:w="0" w:type="auto"/>
            <w:shd w:val="clear" w:color="auto" w:fill="EEEEEE"/>
            <w:vAlign w:val="center"/>
            <w:hideMark/>
          </w:tcPr>
          <w:p w:rsidR="00000000" w:rsidRDefault="00C2268F">
            <w:pPr>
              <w:wordWrap w:val="0"/>
              <w:rPr>
                <w:rFonts w:eastAsia="Times New Roman"/>
              </w:rPr>
            </w:pPr>
            <w:r>
              <w:rPr>
                <w:rFonts w:eastAsia="Times New Roman"/>
              </w:rPr>
              <w:t>MEET</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Тип корпоративного действия</w:t>
            </w:r>
          </w:p>
        </w:tc>
        <w:tc>
          <w:tcPr>
            <w:tcW w:w="0" w:type="auto"/>
            <w:shd w:val="clear" w:color="auto" w:fill="EEEEEE"/>
            <w:vAlign w:val="center"/>
            <w:hideMark/>
          </w:tcPr>
          <w:p w:rsidR="00000000" w:rsidRDefault="00C2268F">
            <w:pPr>
              <w:wordWrap w:val="0"/>
              <w:rPr>
                <w:rFonts w:eastAsia="Times New Roman"/>
              </w:rPr>
            </w:pPr>
            <w:r>
              <w:rPr>
                <w:rFonts w:eastAsia="Times New Roman"/>
              </w:rPr>
              <w:t>Годовое общее собрание акционеров</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Дата КД (план.)</w:t>
            </w:r>
          </w:p>
        </w:tc>
        <w:tc>
          <w:tcPr>
            <w:tcW w:w="0" w:type="auto"/>
            <w:shd w:val="clear" w:color="auto" w:fill="EEEEEE"/>
            <w:vAlign w:val="center"/>
            <w:hideMark/>
          </w:tcPr>
          <w:p w:rsidR="00000000" w:rsidRDefault="00C2268F">
            <w:pPr>
              <w:rPr>
                <w:rFonts w:eastAsia="Times New Roman"/>
              </w:rPr>
            </w:pPr>
            <w:r>
              <w:rPr>
                <w:rFonts w:eastAsia="Times New Roman"/>
              </w:rPr>
              <w:t xml:space="preserve">30 июня 2023 г. </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Дата фиксации</w:t>
            </w:r>
          </w:p>
        </w:tc>
        <w:tc>
          <w:tcPr>
            <w:tcW w:w="0" w:type="auto"/>
            <w:shd w:val="clear" w:color="auto" w:fill="EEEEEE"/>
            <w:vAlign w:val="center"/>
            <w:hideMark/>
          </w:tcPr>
          <w:p w:rsidR="00000000" w:rsidRDefault="00C2268F">
            <w:pPr>
              <w:rPr>
                <w:rFonts w:eastAsia="Times New Roman"/>
              </w:rPr>
            </w:pPr>
            <w:r>
              <w:rPr>
                <w:rFonts w:eastAsia="Times New Roman"/>
              </w:rPr>
              <w:t>05 июня 2023 г.</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Форма проведения собрания</w:t>
            </w:r>
          </w:p>
        </w:tc>
        <w:tc>
          <w:tcPr>
            <w:tcW w:w="0" w:type="auto"/>
            <w:shd w:val="clear" w:color="auto" w:fill="EEEEEE"/>
            <w:vAlign w:val="center"/>
            <w:hideMark/>
          </w:tcPr>
          <w:p w:rsidR="00000000" w:rsidRDefault="00C2268F">
            <w:pPr>
              <w:wordWrap w:val="0"/>
              <w:rPr>
                <w:rFonts w:eastAsia="Times New Roman"/>
              </w:rPr>
            </w:pPr>
            <w:r>
              <w:rPr>
                <w:rFonts w:eastAsia="Times New Roman"/>
              </w:rPr>
              <w:t>Заочная</w:t>
            </w:r>
          </w:p>
        </w:tc>
      </w:tr>
    </w:tbl>
    <w:p w:rsidR="00000000" w:rsidRDefault="00C2268F">
      <w:pPr>
        <w:rPr>
          <w:rFonts w:eastAsia="Times New Roman"/>
        </w:rPr>
      </w:pPr>
    </w:p>
    <w:tbl>
      <w:tblPr>
        <w:tblW w:w="5000" w:type="pct"/>
        <w:tblCellSpacing w:w="7" w:type="dxa"/>
        <w:tblCellMar>
          <w:left w:w="0" w:type="dxa"/>
          <w:right w:w="0" w:type="dxa"/>
        </w:tblCellMar>
        <w:tblLook w:val="04A0" w:firstRow="1" w:lastRow="0" w:firstColumn="1" w:lastColumn="0" w:noHBand="0" w:noVBand="1"/>
      </w:tblPr>
      <w:tblGrid>
        <w:gridCol w:w="1512"/>
        <w:gridCol w:w="2549"/>
        <w:gridCol w:w="2034"/>
        <w:gridCol w:w="1428"/>
        <w:gridCol w:w="1566"/>
        <w:gridCol w:w="1775"/>
        <w:gridCol w:w="1695"/>
        <w:gridCol w:w="2011"/>
      </w:tblGrid>
      <w:tr w:rsidR="00000000">
        <w:trPr>
          <w:tblHeader/>
          <w:tblCellSpacing w:w="7" w:type="dxa"/>
        </w:trPr>
        <w:tc>
          <w:tcPr>
            <w:tcW w:w="0" w:type="auto"/>
            <w:gridSpan w:val="8"/>
            <w:shd w:val="clear" w:color="auto" w:fill="BBBBBB"/>
            <w:vAlign w:val="center"/>
            <w:hideMark/>
          </w:tcPr>
          <w:p w:rsidR="00000000" w:rsidRDefault="00C2268F">
            <w:pPr>
              <w:jc w:val="center"/>
              <w:rPr>
                <w:rFonts w:eastAsia="Times New Roman"/>
                <w:b/>
                <w:bCs/>
              </w:rPr>
            </w:pPr>
            <w:r>
              <w:rPr>
                <w:rFonts w:eastAsia="Times New Roman"/>
                <w:b/>
                <w:bCs/>
              </w:rPr>
              <w:t>Информация о ценных бумагах</w:t>
            </w:r>
          </w:p>
        </w:tc>
      </w:tr>
      <w:tr w:rsidR="00000000">
        <w:trPr>
          <w:tblHeader/>
          <w:tblCellSpacing w:w="7" w:type="dxa"/>
        </w:trPr>
        <w:tc>
          <w:tcPr>
            <w:tcW w:w="0" w:type="auto"/>
            <w:shd w:val="clear" w:color="auto" w:fill="BBBBBB"/>
            <w:vAlign w:val="center"/>
            <w:hideMark/>
          </w:tcPr>
          <w:p w:rsidR="00000000" w:rsidRDefault="00C2268F">
            <w:pPr>
              <w:jc w:val="center"/>
              <w:rPr>
                <w:rFonts w:eastAsia="Times New Roman"/>
                <w:b/>
                <w:bCs/>
              </w:rPr>
            </w:pPr>
            <w:proofErr w:type="spellStart"/>
            <w:r>
              <w:rPr>
                <w:rFonts w:eastAsia="Times New Roman"/>
                <w:b/>
                <w:bCs/>
              </w:rPr>
              <w:t>Референс</w:t>
            </w:r>
            <w:proofErr w:type="spellEnd"/>
            <w:r>
              <w:rPr>
                <w:rFonts w:eastAsia="Times New Roman"/>
                <w:b/>
                <w:bCs/>
              </w:rPr>
              <w:t xml:space="preserve"> КД по ценной бумаге</w:t>
            </w:r>
          </w:p>
        </w:tc>
        <w:tc>
          <w:tcPr>
            <w:tcW w:w="0" w:type="auto"/>
            <w:shd w:val="clear" w:color="auto" w:fill="BBBBBB"/>
            <w:vAlign w:val="center"/>
            <w:hideMark/>
          </w:tcPr>
          <w:p w:rsidR="00000000" w:rsidRDefault="00C2268F">
            <w:pPr>
              <w:jc w:val="center"/>
              <w:rPr>
                <w:rFonts w:eastAsia="Times New Roman"/>
                <w:b/>
                <w:bCs/>
              </w:rPr>
            </w:pPr>
            <w:r>
              <w:rPr>
                <w:rFonts w:eastAsia="Times New Roman"/>
                <w:b/>
                <w:bCs/>
              </w:rPr>
              <w:t>Эмитент</w:t>
            </w:r>
          </w:p>
        </w:tc>
        <w:tc>
          <w:tcPr>
            <w:tcW w:w="0" w:type="auto"/>
            <w:shd w:val="clear" w:color="auto" w:fill="BBBBBB"/>
            <w:vAlign w:val="center"/>
            <w:hideMark/>
          </w:tcPr>
          <w:p w:rsidR="00000000" w:rsidRDefault="00C2268F">
            <w:pPr>
              <w:jc w:val="center"/>
              <w:rPr>
                <w:rFonts w:eastAsia="Times New Roman"/>
                <w:b/>
                <w:bCs/>
              </w:rPr>
            </w:pPr>
            <w:r>
              <w:rPr>
                <w:rFonts w:eastAsia="Times New Roman"/>
                <w:b/>
                <w:bCs/>
              </w:rPr>
              <w:t>Регистрационный номер</w:t>
            </w:r>
          </w:p>
        </w:tc>
        <w:tc>
          <w:tcPr>
            <w:tcW w:w="0" w:type="auto"/>
            <w:shd w:val="clear" w:color="auto" w:fill="BBBBBB"/>
            <w:vAlign w:val="center"/>
            <w:hideMark/>
          </w:tcPr>
          <w:p w:rsidR="00000000" w:rsidRDefault="00C2268F">
            <w:pPr>
              <w:jc w:val="center"/>
              <w:rPr>
                <w:rFonts w:eastAsia="Times New Roman"/>
                <w:b/>
                <w:bCs/>
              </w:rPr>
            </w:pPr>
            <w:r>
              <w:rPr>
                <w:rFonts w:eastAsia="Times New Roman"/>
                <w:b/>
                <w:bCs/>
              </w:rPr>
              <w:t>Дата регистрации</w:t>
            </w:r>
          </w:p>
        </w:tc>
        <w:tc>
          <w:tcPr>
            <w:tcW w:w="0" w:type="auto"/>
            <w:shd w:val="clear" w:color="auto" w:fill="BBBBBB"/>
            <w:vAlign w:val="center"/>
            <w:hideMark/>
          </w:tcPr>
          <w:p w:rsidR="00000000" w:rsidRDefault="00C2268F">
            <w:pPr>
              <w:jc w:val="center"/>
              <w:rPr>
                <w:rFonts w:eastAsia="Times New Roman"/>
                <w:b/>
                <w:bCs/>
              </w:rPr>
            </w:pPr>
            <w:r>
              <w:rPr>
                <w:rFonts w:eastAsia="Times New Roman"/>
                <w:b/>
                <w:bCs/>
              </w:rPr>
              <w:t>Категория</w:t>
            </w:r>
          </w:p>
        </w:tc>
        <w:tc>
          <w:tcPr>
            <w:tcW w:w="0" w:type="auto"/>
            <w:shd w:val="clear" w:color="auto" w:fill="BBBBBB"/>
            <w:vAlign w:val="center"/>
            <w:hideMark/>
          </w:tcPr>
          <w:p w:rsidR="00000000" w:rsidRDefault="00C2268F">
            <w:pPr>
              <w:jc w:val="center"/>
              <w:rPr>
                <w:rFonts w:eastAsia="Times New Roman"/>
                <w:b/>
                <w:bCs/>
              </w:rPr>
            </w:pPr>
            <w:r>
              <w:rPr>
                <w:rFonts w:eastAsia="Times New Roman"/>
                <w:b/>
                <w:bCs/>
              </w:rPr>
              <w:t>Депозитарный код выпуска</w:t>
            </w:r>
          </w:p>
        </w:tc>
        <w:tc>
          <w:tcPr>
            <w:tcW w:w="0" w:type="auto"/>
            <w:shd w:val="clear" w:color="auto" w:fill="BBBBBB"/>
            <w:vAlign w:val="center"/>
            <w:hideMark/>
          </w:tcPr>
          <w:p w:rsidR="00000000" w:rsidRDefault="00C2268F">
            <w:pPr>
              <w:jc w:val="center"/>
              <w:rPr>
                <w:rFonts w:eastAsia="Times New Roman"/>
                <w:b/>
                <w:bCs/>
              </w:rPr>
            </w:pPr>
            <w:r>
              <w:rPr>
                <w:rFonts w:eastAsia="Times New Roman"/>
                <w:b/>
                <w:bCs/>
              </w:rPr>
              <w:t>ISIN</w:t>
            </w:r>
          </w:p>
        </w:tc>
        <w:tc>
          <w:tcPr>
            <w:tcW w:w="0" w:type="auto"/>
            <w:shd w:val="clear" w:color="auto" w:fill="BBBBBB"/>
            <w:vAlign w:val="center"/>
            <w:hideMark/>
          </w:tcPr>
          <w:p w:rsidR="00000000" w:rsidRDefault="00C2268F">
            <w:pPr>
              <w:jc w:val="center"/>
              <w:rPr>
                <w:rFonts w:eastAsia="Times New Roman"/>
                <w:b/>
                <w:bCs/>
              </w:rPr>
            </w:pPr>
            <w:r>
              <w:rPr>
                <w:rFonts w:eastAsia="Times New Roman"/>
                <w:b/>
                <w:bCs/>
              </w:rPr>
              <w:t>Реестродержатель</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795964X9516</w:t>
            </w:r>
          </w:p>
        </w:tc>
        <w:tc>
          <w:tcPr>
            <w:tcW w:w="0" w:type="auto"/>
            <w:shd w:val="clear" w:color="auto" w:fill="EEEEEE"/>
            <w:vAlign w:val="center"/>
            <w:hideMark/>
          </w:tcPr>
          <w:p w:rsidR="00000000" w:rsidRDefault="00C2268F">
            <w:pPr>
              <w:rPr>
                <w:rFonts w:eastAsia="Times New Roman"/>
              </w:rPr>
            </w:pPr>
            <w:r>
              <w:rPr>
                <w:rFonts w:eastAsia="Times New Roman"/>
              </w:rPr>
              <w:t xml:space="preserve">Публичное акционерное общество "Федеральная гидрогенерирующая компания - </w:t>
            </w:r>
            <w:proofErr w:type="spellStart"/>
            <w:r>
              <w:rPr>
                <w:rFonts w:eastAsia="Times New Roman"/>
              </w:rPr>
              <w:t>РусГидро</w:t>
            </w:r>
            <w:proofErr w:type="spellEnd"/>
            <w:r>
              <w:rPr>
                <w:rFonts w:eastAsia="Times New Roman"/>
              </w:rPr>
              <w:t>"</w:t>
            </w:r>
          </w:p>
        </w:tc>
        <w:tc>
          <w:tcPr>
            <w:tcW w:w="0" w:type="auto"/>
            <w:shd w:val="clear" w:color="auto" w:fill="EEEEEE"/>
            <w:vAlign w:val="center"/>
            <w:hideMark/>
          </w:tcPr>
          <w:p w:rsidR="00000000" w:rsidRDefault="00C2268F">
            <w:pPr>
              <w:rPr>
                <w:rFonts w:eastAsia="Times New Roman"/>
              </w:rPr>
            </w:pPr>
            <w:r>
              <w:rPr>
                <w:rFonts w:eastAsia="Times New Roman"/>
              </w:rPr>
              <w:t>1-01-55038-E</w:t>
            </w:r>
          </w:p>
        </w:tc>
        <w:tc>
          <w:tcPr>
            <w:tcW w:w="0" w:type="auto"/>
            <w:shd w:val="clear" w:color="auto" w:fill="EEEEEE"/>
            <w:vAlign w:val="center"/>
            <w:hideMark/>
          </w:tcPr>
          <w:p w:rsidR="00000000" w:rsidRDefault="00C2268F">
            <w:pPr>
              <w:rPr>
                <w:rFonts w:eastAsia="Times New Roman"/>
              </w:rPr>
            </w:pPr>
            <w:r>
              <w:rPr>
                <w:rFonts w:eastAsia="Times New Roman"/>
              </w:rPr>
              <w:t>22 февраля 2005 г.</w:t>
            </w:r>
          </w:p>
        </w:tc>
        <w:tc>
          <w:tcPr>
            <w:tcW w:w="0" w:type="auto"/>
            <w:shd w:val="clear" w:color="auto" w:fill="EEEEEE"/>
            <w:vAlign w:val="center"/>
            <w:hideMark/>
          </w:tcPr>
          <w:p w:rsidR="00000000" w:rsidRDefault="00C2268F">
            <w:pPr>
              <w:rPr>
                <w:rFonts w:eastAsia="Times New Roman"/>
              </w:rPr>
            </w:pPr>
            <w:r>
              <w:rPr>
                <w:rFonts w:eastAsia="Times New Roman"/>
              </w:rPr>
              <w:t xml:space="preserve">акции обыкновенные </w:t>
            </w:r>
          </w:p>
        </w:tc>
        <w:tc>
          <w:tcPr>
            <w:tcW w:w="0" w:type="auto"/>
            <w:shd w:val="clear" w:color="auto" w:fill="EEEEEE"/>
            <w:vAlign w:val="center"/>
            <w:hideMark/>
          </w:tcPr>
          <w:p w:rsidR="00000000" w:rsidRDefault="00C2268F">
            <w:pPr>
              <w:rPr>
                <w:rFonts w:eastAsia="Times New Roman"/>
              </w:rPr>
            </w:pPr>
            <w:r>
              <w:rPr>
                <w:rFonts w:eastAsia="Times New Roman"/>
              </w:rPr>
              <w:t>RU000A0JPKH7</w:t>
            </w:r>
          </w:p>
        </w:tc>
        <w:tc>
          <w:tcPr>
            <w:tcW w:w="0" w:type="auto"/>
            <w:shd w:val="clear" w:color="auto" w:fill="EEEEEE"/>
            <w:vAlign w:val="center"/>
            <w:hideMark/>
          </w:tcPr>
          <w:p w:rsidR="00000000" w:rsidRDefault="00C2268F">
            <w:pPr>
              <w:rPr>
                <w:rFonts w:eastAsia="Times New Roman"/>
              </w:rPr>
            </w:pPr>
            <w:r>
              <w:rPr>
                <w:rFonts w:eastAsia="Times New Roman"/>
              </w:rPr>
              <w:t>RU000A0JPKH7</w:t>
            </w:r>
          </w:p>
        </w:tc>
        <w:tc>
          <w:tcPr>
            <w:tcW w:w="0" w:type="auto"/>
            <w:shd w:val="clear" w:color="auto" w:fill="EEEEEE"/>
            <w:vAlign w:val="center"/>
            <w:hideMark/>
          </w:tcPr>
          <w:p w:rsidR="00000000" w:rsidRDefault="00C2268F">
            <w:pPr>
              <w:rPr>
                <w:rFonts w:eastAsia="Times New Roman"/>
              </w:rPr>
            </w:pPr>
            <w:r>
              <w:rPr>
                <w:rFonts w:eastAsia="Times New Roman"/>
              </w:rPr>
              <w:t>АО ВТБ Регистратор</w:t>
            </w:r>
          </w:p>
        </w:tc>
      </w:tr>
    </w:tbl>
    <w:p w:rsidR="00000000" w:rsidRDefault="00C2268F">
      <w:pPr>
        <w:rPr>
          <w:rFonts w:eastAsia="Times New Roman"/>
        </w:rPr>
      </w:pPr>
    </w:p>
    <w:tbl>
      <w:tblPr>
        <w:tblW w:w="5000" w:type="pct"/>
        <w:tblCellSpacing w:w="7" w:type="dxa"/>
        <w:tblCellMar>
          <w:left w:w="0" w:type="dxa"/>
          <w:right w:w="0" w:type="dxa"/>
        </w:tblCellMar>
        <w:tblLook w:val="04A0" w:firstRow="1" w:lastRow="0" w:firstColumn="1" w:lastColumn="0" w:noHBand="0" w:noVBand="1"/>
      </w:tblPr>
      <w:tblGrid>
        <w:gridCol w:w="7217"/>
        <w:gridCol w:w="7310"/>
        <w:gridCol w:w="43"/>
      </w:tblGrid>
      <w:tr w:rsidR="00000000">
        <w:trPr>
          <w:gridAfter w:val="1"/>
          <w:tblHeader/>
          <w:tblCellSpacing w:w="7" w:type="dxa"/>
        </w:trPr>
        <w:tc>
          <w:tcPr>
            <w:tcW w:w="0" w:type="auto"/>
            <w:gridSpan w:val="2"/>
            <w:shd w:val="clear" w:color="auto" w:fill="BBBBBB"/>
            <w:vAlign w:val="center"/>
            <w:hideMark/>
          </w:tcPr>
          <w:p w:rsidR="00000000" w:rsidRDefault="00C2268F">
            <w:pPr>
              <w:jc w:val="center"/>
              <w:rPr>
                <w:rFonts w:eastAsia="Times New Roman"/>
                <w:b/>
                <w:bCs/>
              </w:rPr>
            </w:pPr>
            <w:r>
              <w:rPr>
                <w:rFonts w:eastAsia="Times New Roman"/>
                <w:b/>
                <w:bCs/>
              </w:rPr>
              <w:t>Связанные корпоративные действия</w:t>
            </w:r>
          </w:p>
        </w:tc>
      </w:tr>
      <w:tr w:rsidR="00000000">
        <w:trPr>
          <w:gridAfter w:val="1"/>
          <w:tblHeader/>
          <w:tblCellSpacing w:w="7" w:type="dxa"/>
        </w:trPr>
        <w:tc>
          <w:tcPr>
            <w:tcW w:w="0" w:type="auto"/>
            <w:shd w:val="clear" w:color="auto" w:fill="BBBBBB"/>
            <w:vAlign w:val="center"/>
            <w:hideMark/>
          </w:tcPr>
          <w:p w:rsidR="00000000" w:rsidRDefault="00C2268F">
            <w:pPr>
              <w:jc w:val="center"/>
              <w:rPr>
                <w:rFonts w:eastAsia="Times New Roman"/>
                <w:b/>
                <w:bCs/>
              </w:rPr>
            </w:pPr>
            <w:r>
              <w:rPr>
                <w:rFonts w:eastAsia="Times New Roman"/>
                <w:b/>
                <w:bCs/>
              </w:rPr>
              <w:t>Код типа КД</w:t>
            </w:r>
          </w:p>
        </w:tc>
        <w:tc>
          <w:tcPr>
            <w:tcW w:w="0" w:type="auto"/>
            <w:shd w:val="clear" w:color="auto" w:fill="BBBBBB"/>
            <w:vAlign w:val="center"/>
            <w:hideMark/>
          </w:tcPr>
          <w:p w:rsidR="00000000" w:rsidRDefault="00C2268F">
            <w:pPr>
              <w:jc w:val="center"/>
              <w:rPr>
                <w:rFonts w:eastAsia="Times New Roman"/>
                <w:b/>
                <w:bCs/>
              </w:rPr>
            </w:pPr>
            <w:proofErr w:type="spellStart"/>
            <w:r>
              <w:rPr>
                <w:rFonts w:eastAsia="Times New Roman"/>
                <w:b/>
                <w:bCs/>
              </w:rPr>
              <w:t>Референс</w:t>
            </w:r>
            <w:proofErr w:type="spellEnd"/>
            <w:r>
              <w:rPr>
                <w:rFonts w:eastAsia="Times New Roman"/>
                <w:b/>
                <w:bCs/>
              </w:rPr>
              <w:t xml:space="preserve"> КД</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DVCA</w:t>
            </w:r>
          </w:p>
        </w:tc>
        <w:tc>
          <w:tcPr>
            <w:tcW w:w="0" w:type="auto"/>
            <w:shd w:val="clear" w:color="auto" w:fill="EEEEEE"/>
            <w:vAlign w:val="center"/>
            <w:hideMark/>
          </w:tcPr>
          <w:p w:rsidR="00000000" w:rsidRDefault="00C2268F">
            <w:pPr>
              <w:rPr>
                <w:rFonts w:eastAsia="Times New Roman"/>
              </w:rPr>
            </w:pPr>
            <w:r>
              <w:rPr>
                <w:rFonts w:eastAsia="Times New Roman"/>
              </w:rPr>
              <w:t>814099</w:t>
            </w:r>
          </w:p>
        </w:tc>
        <w:tc>
          <w:tcPr>
            <w:tcW w:w="0" w:type="auto"/>
            <w:shd w:val="clear" w:color="auto" w:fill="EEEEEE"/>
            <w:vAlign w:val="center"/>
            <w:hideMark/>
          </w:tcPr>
          <w:p w:rsidR="00000000" w:rsidRDefault="00C2268F">
            <w:pPr>
              <w:rPr>
                <w:rFonts w:eastAsia="Times New Roman"/>
              </w:rPr>
            </w:pPr>
          </w:p>
        </w:tc>
      </w:tr>
    </w:tbl>
    <w:p w:rsidR="00000000" w:rsidRDefault="00C2268F">
      <w:pPr>
        <w:rPr>
          <w:rFonts w:eastAsia="Times New Roman"/>
        </w:rPr>
      </w:pPr>
    </w:p>
    <w:tbl>
      <w:tblPr>
        <w:tblW w:w="5000" w:type="pct"/>
        <w:tblCellSpacing w:w="7" w:type="dxa"/>
        <w:tblCellMar>
          <w:left w:w="0" w:type="dxa"/>
          <w:right w:w="0" w:type="dxa"/>
        </w:tblCellMar>
        <w:tblLook w:val="04A0" w:firstRow="1" w:lastRow="0" w:firstColumn="1" w:lastColumn="0" w:noHBand="0" w:noVBand="1"/>
      </w:tblPr>
      <w:tblGrid>
        <w:gridCol w:w="10388"/>
        <w:gridCol w:w="4182"/>
      </w:tblGrid>
      <w:tr w:rsidR="00000000">
        <w:trPr>
          <w:tblHeader/>
          <w:tblCellSpacing w:w="7" w:type="dxa"/>
        </w:trPr>
        <w:tc>
          <w:tcPr>
            <w:tcW w:w="0" w:type="auto"/>
            <w:gridSpan w:val="2"/>
            <w:shd w:val="clear" w:color="auto" w:fill="BBBBBB"/>
            <w:vAlign w:val="center"/>
            <w:hideMark/>
          </w:tcPr>
          <w:p w:rsidR="00000000" w:rsidRDefault="00C2268F">
            <w:pPr>
              <w:jc w:val="center"/>
              <w:rPr>
                <w:rFonts w:eastAsia="Times New Roman"/>
                <w:b/>
                <w:bCs/>
              </w:rPr>
            </w:pPr>
            <w:r>
              <w:rPr>
                <w:rFonts w:eastAsia="Times New Roman"/>
                <w:b/>
                <w:bCs/>
              </w:rPr>
              <w:t>Голосование</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Дата и время окончания приема инструкций для участия в собрании, установленные НКО АО НРД</w:t>
            </w:r>
          </w:p>
        </w:tc>
        <w:tc>
          <w:tcPr>
            <w:tcW w:w="0" w:type="auto"/>
            <w:shd w:val="clear" w:color="auto" w:fill="EEEEEE"/>
            <w:vAlign w:val="center"/>
            <w:hideMark/>
          </w:tcPr>
          <w:p w:rsidR="00000000" w:rsidRDefault="00C2268F">
            <w:pPr>
              <w:rPr>
                <w:rFonts w:eastAsia="Times New Roman"/>
              </w:rPr>
            </w:pPr>
            <w:r>
              <w:rPr>
                <w:rFonts w:eastAsia="Times New Roman"/>
              </w:rPr>
              <w:t>29 июня 2023 г. 19:59 МСК</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Дата и время окончания приема бюллетеней для голосования/инструкций для участия в собрании, установленные эмитентом</w:t>
            </w:r>
          </w:p>
        </w:tc>
        <w:tc>
          <w:tcPr>
            <w:tcW w:w="0" w:type="auto"/>
            <w:shd w:val="clear" w:color="auto" w:fill="EEEEEE"/>
            <w:vAlign w:val="center"/>
            <w:hideMark/>
          </w:tcPr>
          <w:p w:rsidR="00000000" w:rsidRDefault="00C2268F">
            <w:pPr>
              <w:rPr>
                <w:rFonts w:eastAsia="Times New Roman"/>
              </w:rPr>
            </w:pPr>
            <w:r>
              <w:rPr>
                <w:rFonts w:eastAsia="Times New Roman"/>
              </w:rPr>
              <w:t>29 июня 2023 г. 23:59 МСК</w:t>
            </w:r>
          </w:p>
        </w:tc>
      </w:tr>
      <w:tr w:rsidR="00000000">
        <w:trPr>
          <w:tblCellSpacing w:w="7" w:type="dxa"/>
        </w:trPr>
        <w:tc>
          <w:tcPr>
            <w:tcW w:w="0" w:type="auto"/>
            <w:gridSpan w:val="2"/>
            <w:shd w:val="clear" w:color="auto" w:fill="BBBBBB"/>
            <w:vAlign w:val="center"/>
            <w:hideMark/>
          </w:tcPr>
          <w:p w:rsidR="00000000" w:rsidRDefault="00C2268F">
            <w:pPr>
              <w:jc w:val="center"/>
              <w:rPr>
                <w:rFonts w:eastAsia="Times New Roman"/>
              </w:rPr>
            </w:pPr>
            <w:r>
              <w:rPr>
                <w:rFonts w:eastAsia="Times New Roman"/>
              </w:rPr>
              <w:lastRenderedPageBreak/>
              <w:t>Методы голосования</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 xml:space="preserve">Адрес НКО АО НРД для направления инструкций для участия в собрании </w:t>
            </w:r>
          </w:p>
        </w:tc>
        <w:tc>
          <w:tcPr>
            <w:tcW w:w="0" w:type="auto"/>
            <w:shd w:val="clear" w:color="auto" w:fill="EEEEEE"/>
            <w:vAlign w:val="center"/>
            <w:hideMark/>
          </w:tcPr>
          <w:p w:rsidR="00000000" w:rsidRDefault="00C2268F">
            <w:pPr>
              <w:rPr>
                <w:rFonts w:eastAsia="Times New Roman"/>
              </w:rPr>
            </w:pPr>
            <w:r>
              <w:rPr>
                <w:rFonts w:eastAsia="Times New Roman"/>
              </w:rPr>
              <w:t>NDC000000000</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 xml:space="preserve">Адрес SWIFT НКО АО НРД для направления инструкций для участия в собрании </w:t>
            </w:r>
          </w:p>
        </w:tc>
        <w:tc>
          <w:tcPr>
            <w:tcW w:w="0" w:type="auto"/>
            <w:shd w:val="clear" w:color="auto" w:fill="EEEEEE"/>
            <w:vAlign w:val="center"/>
            <w:hideMark/>
          </w:tcPr>
          <w:p w:rsidR="00000000" w:rsidRDefault="00C2268F">
            <w:pPr>
              <w:rPr>
                <w:rFonts w:eastAsia="Times New Roman"/>
              </w:rPr>
            </w:pPr>
            <w:r>
              <w:rPr>
                <w:rFonts w:eastAsia="Times New Roman"/>
              </w:rPr>
              <w:t>NADCRUMM</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Почтовый адрес, по которому могут направля</w:t>
            </w:r>
            <w:r>
              <w:rPr>
                <w:rFonts w:eastAsia="Times New Roman"/>
              </w:rPr>
              <w:t xml:space="preserve">ться заполненные бюллетени </w:t>
            </w:r>
          </w:p>
        </w:tc>
        <w:tc>
          <w:tcPr>
            <w:tcW w:w="0" w:type="auto"/>
            <w:shd w:val="clear" w:color="auto" w:fill="EEEEEE"/>
            <w:vAlign w:val="center"/>
            <w:hideMark/>
          </w:tcPr>
          <w:p w:rsidR="00000000" w:rsidRDefault="00C2268F">
            <w:pPr>
              <w:rPr>
                <w:rFonts w:eastAsia="Times New Roman"/>
              </w:rPr>
            </w:pPr>
            <w:r>
              <w:rPr>
                <w:rFonts w:eastAsia="Times New Roman"/>
              </w:rPr>
              <w:t xml:space="preserve">Код страны: RU. </w:t>
            </w:r>
            <w:r>
              <w:rPr>
                <w:rFonts w:eastAsia="Times New Roman"/>
              </w:rPr>
              <w:br/>
              <w:t>127137, г. Москва, а/я 54 АО ВТБ Регистратор;</w:t>
            </w:r>
          </w:p>
        </w:tc>
      </w:tr>
      <w:tr w:rsidR="00000000">
        <w:trPr>
          <w:tblCellSpacing w:w="7" w:type="dxa"/>
        </w:trPr>
        <w:tc>
          <w:tcPr>
            <w:tcW w:w="0" w:type="auto"/>
            <w:shd w:val="clear" w:color="auto" w:fill="EEEEEE"/>
            <w:vAlign w:val="center"/>
            <w:hideMark/>
          </w:tcPr>
          <w:p w:rsidR="00000000" w:rsidRDefault="00C2268F">
            <w:pPr>
              <w:rPr>
                <w:rFonts w:eastAsia="Times New Roman"/>
              </w:rPr>
            </w:pPr>
            <w:r>
              <w:rPr>
                <w:rFonts w:eastAsia="Times New Roman"/>
              </w:rPr>
              <w:t xml:space="preserve">Адрес сайта в сети "Интернет", на котором может быть заполнена электронная форма бюллетеней </w:t>
            </w:r>
          </w:p>
        </w:tc>
        <w:tc>
          <w:tcPr>
            <w:tcW w:w="0" w:type="auto"/>
            <w:shd w:val="clear" w:color="auto" w:fill="EEEEEE"/>
            <w:vAlign w:val="center"/>
            <w:hideMark/>
          </w:tcPr>
          <w:p w:rsidR="00000000" w:rsidRDefault="00C2268F">
            <w:pPr>
              <w:rPr>
                <w:rFonts w:eastAsia="Times New Roman"/>
              </w:rPr>
            </w:pPr>
            <w:r>
              <w:rPr>
                <w:rFonts w:eastAsia="Times New Roman"/>
              </w:rPr>
              <w:t>http://www.vtbreg.ru, https://www.e-vote.ru/ru</w:t>
            </w:r>
          </w:p>
        </w:tc>
      </w:tr>
    </w:tbl>
    <w:p w:rsidR="00000000" w:rsidRDefault="00C2268F">
      <w:pPr>
        <w:rPr>
          <w:rFonts w:eastAsia="Times New Roman"/>
        </w:rPr>
      </w:pPr>
    </w:p>
    <w:p w:rsidR="00000000" w:rsidRDefault="00C2268F">
      <w:pPr>
        <w:pStyle w:val="2"/>
        <w:rPr>
          <w:rFonts w:eastAsia="Times New Roman"/>
        </w:rPr>
      </w:pPr>
      <w:r>
        <w:rPr>
          <w:rFonts w:eastAsia="Times New Roman"/>
        </w:rPr>
        <w:t>Повестка</w:t>
      </w:r>
    </w:p>
    <w:p w:rsidR="00000000" w:rsidRDefault="00C2268F">
      <w:pPr>
        <w:rPr>
          <w:rFonts w:eastAsia="Times New Roman"/>
        </w:rPr>
      </w:pPr>
      <w:r>
        <w:rPr>
          <w:rFonts w:eastAsia="Times New Roman"/>
        </w:rPr>
        <w:t>1. Утверждение годового отчета Общества за 2022 год. 2. Утверждение годовой бухгалтерской (финансовой) отчетности Общества по итогам 2022 года. 3. Распределение прибыли Общества по результатам 2022 года. 4. Выплата (объявление) дивидендов по акциям Обществ</w:t>
      </w:r>
      <w:r>
        <w:rPr>
          <w:rFonts w:eastAsia="Times New Roman"/>
        </w:rPr>
        <w:t>а по результатам 2022 года. 5. О выплате вознаграждения членам Совета директоров Общества. 6. О выплате вознаграждения членам Ревизионной комиссии Общества. 7. Избрание членов Совета директоров Общества. 8. Избрание членов Ревизионной комиссии Общества. 9.</w:t>
      </w:r>
      <w:r>
        <w:rPr>
          <w:rFonts w:eastAsia="Times New Roman"/>
        </w:rPr>
        <w:t xml:space="preserve"> Назначение Аудиторской организации Общества. 10. Утверждение Устава ПАО «</w:t>
      </w:r>
      <w:proofErr w:type="spellStart"/>
      <w:r>
        <w:rPr>
          <w:rFonts w:eastAsia="Times New Roman"/>
        </w:rPr>
        <w:t>РусГидро</w:t>
      </w:r>
      <w:proofErr w:type="spellEnd"/>
      <w:r>
        <w:rPr>
          <w:rFonts w:eastAsia="Times New Roman"/>
        </w:rPr>
        <w:t>» в новой редакции. 11. Утверждение Положения о вознаграждениях и компенсациях членам Ревизионной комиссии ПАО «</w:t>
      </w:r>
      <w:proofErr w:type="spellStart"/>
      <w:r>
        <w:rPr>
          <w:rFonts w:eastAsia="Times New Roman"/>
        </w:rPr>
        <w:t>РусГидро</w:t>
      </w:r>
      <w:proofErr w:type="spellEnd"/>
      <w:r>
        <w:rPr>
          <w:rFonts w:eastAsia="Times New Roman"/>
        </w:rPr>
        <w:t xml:space="preserve">» в новой редакции. </w:t>
      </w:r>
    </w:p>
    <w:p w:rsidR="00000000" w:rsidRDefault="00C2268F">
      <w:pPr>
        <w:pStyle w:val="a3"/>
      </w:pPr>
      <w:r>
        <w:t>Настоящим сообщаем о получении НК</w:t>
      </w:r>
      <w:r>
        <w:t>О АО НРД информации, предоставляемой эмитентом ценных бумаг в соответствии с Положением ЦБ РФ N 751-П от 11 января 2021 года "О перечне информации, связанной с осуществлением прав по ценным бумагам, предоставляемой эмитентами центральному депозитарию, поря</w:t>
      </w:r>
      <w:r>
        <w:t>дке и сроках ее предоставления, а также о требованиях к порядку предоставления центральным депозитарием доступа к такой информации"</w:t>
      </w:r>
    </w:p>
    <w:p w:rsidR="00000000" w:rsidRDefault="00C2268F">
      <w:pPr>
        <w:pStyle w:val="a3"/>
      </w:pPr>
      <w:r>
        <w:t>4.2 Информация о созыве общего собрания акционеров эмитента</w:t>
      </w:r>
    </w:p>
    <w:p w:rsidR="00000000" w:rsidRDefault="00C2268F">
      <w:pPr>
        <w:pStyle w:val="a3"/>
      </w:pPr>
      <w:r>
        <w:t>Электронная форма бюллетеней для голосования может быть заполнен</w:t>
      </w:r>
      <w:r>
        <w:t>а акционерами в «Личном кабинете акционера» на сайте регистратора www.vtbreg.ru, www.e-vote.ru или в мобильном приложении ЦУП «Кворум»</w:t>
      </w:r>
    </w:p>
    <w:p w:rsidR="00000000" w:rsidRDefault="00C2268F" w:rsidP="00C2268F">
      <w:pPr>
        <w:pStyle w:val="HTML"/>
      </w:pPr>
      <w:r>
        <w:t>По всем вопросам, связанным с настоящим сообщением, Вы можете обращаться к АО «БАНК ОРЕНБУРГ» по телефону: (3532)343-060.</w:t>
      </w:r>
      <w:bookmarkStart w:id="0" w:name="_GoBack"/>
      <w:bookmarkEnd w:id="0"/>
    </w:p>
    <w:sectPr w:rsidR="00000000" w:rsidSect="00C2268F">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2268F"/>
    <w:rsid w:val="00C2268F"/>
  </w:rsids>
  <m:mathPr>
    <m:mathFont m:val="Cambria Math"/>
    <m:brkBin m:val="before"/>
    <m:brkBinSub m:val="--"/>
    <m:smallFrac m:val="0"/>
    <m:dispDef/>
    <m:lMargin m:val="0"/>
    <m:rMargin m:val="0"/>
    <m:defJc m:val="centerGroup"/>
    <m:wrapIndent m:val="1440"/>
    <m:intLim m:val="subSup"/>
    <m:naryLim m:val="undOvr"/>
  </m:mathPr>
  <w:attachedSchema w:val="http://exslt.org/common"/>
  <w:attachedSchema w:val="http://www.itglobal.ru"/>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2849C"/>
  <w15:chartTrackingRefBased/>
  <w15:docId w15:val="{38846214-661D-4887-A3C8-8DA86E61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styleId="a3">
    <w:name w:val="Normal (Web)"/>
    <w:basedOn w:val="a"/>
    <w:uiPriority w:val="99"/>
    <w:semiHidden/>
    <w:unhideWhenUsed/>
    <w:pPr>
      <w:spacing w:before="100" w:beforeAutospacing="1" w:after="100" w:afterAutospacing="1"/>
    </w:p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8025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Калягина Ольга Владимировна</dc:creator>
  <cp:keywords/>
  <dc:description/>
  <cp:lastModifiedBy>Калягина Ольга Владимировна</cp:lastModifiedBy>
  <cp:revision>2</cp:revision>
  <dcterms:created xsi:type="dcterms:W3CDTF">2023-06-05T04:28:00Z</dcterms:created>
  <dcterms:modified xsi:type="dcterms:W3CDTF">2023-06-05T04:28:00Z</dcterms:modified>
</cp:coreProperties>
</file>